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仿宋" w:hAnsi="仿宋" w:eastAsia="仿宋"/>
          <w:color w:val="000000"/>
          <w:kern w:val="0"/>
          <w:sz w:val="28"/>
          <w:szCs w:val="28"/>
        </w:rPr>
      </w:pPr>
      <w:r>
        <w:rPr>
          <w:rFonts w:ascii="仿宋" w:hAnsi="仿宋" w:eastAsia="仿宋"/>
          <w:color w:val="000000"/>
          <w:kern w:val="0"/>
          <w:sz w:val="28"/>
          <w:szCs w:val="28"/>
        </w:rPr>
        <w:t>附</w:t>
      </w:r>
      <w:r>
        <w:rPr>
          <w:rFonts w:hint="eastAsia" w:ascii="仿宋" w:hAnsi="仿宋" w:eastAsia="仿宋"/>
          <w:color w:val="000000"/>
          <w:kern w:val="0"/>
          <w:sz w:val="28"/>
          <w:szCs w:val="28"/>
        </w:rPr>
        <w:t>：</w:t>
      </w:r>
      <w:bookmarkStart w:id="0" w:name="_GoBack"/>
      <w:r>
        <w:rPr>
          <w:rFonts w:ascii="仿宋" w:hAnsi="仿宋" w:eastAsia="仿宋"/>
          <w:color w:val="000000"/>
          <w:kern w:val="0"/>
          <w:sz w:val="28"/>
          <w:szCs w:val="28"/>
        </w:rPr>
        <w:t>公示内容</w:t>
      </w:r>
      <w:bookmarkEnd w:id="0"/>
    </w:p>
    <w:p>
      <w:pPr>
        <w:adjustRightInd w:val="0"/>
        <w:snapToGrid w:val="0"/>
        <w:spacing w:line="500" w:lineRule="exact"/>
        <w:rPr>
          <w:rFonts w:ascii="仿宋" w:hAnsi="仿宋" w:eastAsia="仿宋"/>
          <w:color w:val="000000"/>
          <w:kern w:val="0"/>
          <w:sz w:val="30"/>
          <w:szCs w:val="30"/>
        </w:rPr>
      </w:pPr>
      <w:r>
        <w:rPr>
          <w:rFonts w:ascii="仿宋" w:hAnsi="仿宋" w:eastAsia="仿宋"/>
          <w:b/>
          <w:color w:val="000000"/>
          <w:kern w:val="0"/>
          <w:sz w:val="30"/>
          <w:szCs w:val="30"/>
        </w:rPr>
        <w:t>项目名称：</w:t>
      </w:r>
      <w:r>
        <w:rPr>
          <w:rFonts w:hint="eastAsia" w:ascii="仿宋" w:hAnsi="仿宋" w:eastAsia="仿宋"/>
          <w:color w:val="000000"/>
          <w:kern w:val="0"/>
          <w:sz w:val="30"/>
          <w:szCs w:val="30"/>
        </w:rPr>
        <w:t>心脑血管栓塞性疾病精准防治基础与临床研究</w:t>
      </w:r>
    </w:p>
    <w:p>
      <w:pPr>
        <w:adjustRightInd w:val="0"/>
        <w:snapToGrid w:val="0"/>
        <w:spacing w:line="500" w:lineRule="exact"/>
        <w:rPr>
          <w:rFonts w:hint="eastAsia" w:ascii="仿宋" w:hAnsi="仿宋" w:eastAsia="仿宋"/>
          <w:color w:val="000000"/>
          <w:kern w:val="0"/>
          <w:sz w:val="30"/>
          <w:szCs w:val="30"/>
        </w:rPr>
      </w:pPr>
      <w:r>
        <w:rPr>
          <w:rFonts w:hint="eastAsia" w:ascii="仿宋" w:hAnsi="仿宋" w:eastAsia="仿宋"/>
          <w:b/>
          <w:color w:val="000000"/>
          <w:kern w:val="0"/>
          <w:sz w:val="30"/>
          <w:szCs w:val="30"/>
        </w:rPr>
        <w:t>申报奖种</w:t>
      </w:r>
      <w:r>
        <w:rPr>
          <w:rFonts w:hint="eastAsia" w:ascii="仿宋" w:hAnsi="仿宋" w:eastAsia="仿宋"/>
          <w:color w:val="000000"/>
          <w:kern w:val="0"/>
          <w:sz w:val="30"/>
          <w:szCs w:val="30"/>
        </w:rPr>
        <w:t>：华夏医学科技奖</w:t>
      </w:r>
    </w:p>
    <w:p>
      <w:pPr>
        <w:adjustRightInd w:val="0"/>
        <w:snapToGrid w:val="0"/>
        <w:spacing w:line="500" w:lineRule="exact"/>
        <w:rPr>
          <w:rFonts w:ascii="仿宋" w:hAnsi="仿宋" w:eastAsia="仿宋"/>
          <w:color w:val="000000"/>
          <w:kern w:val="0"/>
          <w:sz w:val="30"/>
          <w:szCs w:val="30"/>
        </w:rPr>
      </w:pPr>
      <w:r>
        <w:rPr>
          <w:rFonts w:ascii="仿宋" w:hAnsi="仿宋" w:eastAsia="仿宋"/>
          <w:b/>
          <w:color w:val="000000"/>
          <w:kern w:val="0"/>
          <w:sz w:val="30"/>
          <w:szCs w:val="30"/>
        </w:rPr>
        <w:t>完成单位（含排序）：</w:t>
      </w:r>
      <w:r>
        <w:rPr>
          <w:rFonts w:hint="eastAsia" w:ascii="仿宋" w:hAnsi="仿宋" w:eastAsia="仿宋"/>
          <w:color w:val="000000"/>
          <w:kern w:val="0"/>
          <w:sz w:val="30"/>
          <w:szCs w:val="30"/>
        </w:rPr>
        <w:t>川北医学院附属医院，四川省医学科学院</w:t>
      </w:r>
      <w:r>
        <w:rPr>
          <w:rFonts w:hint="eastAsia" w:ascii="宋体" w:hAnsi="宋体" w:cs="宋体"/>
          <w:color w:val="000000"/>
          <w:kern w:val="0"/>
          <w:sz w:val="30"/>
          <w:szCs w:val="30"/>
        </w:rPr>
        <w:t>•</w:t>
      </w:r>
      <w:r>
        <w:rPr>
          <w:rFonts w:hint="eastAsia" w:ascii="仿宋" w:hAnsi="仿宋" w:eastAsia="仿宋" w:cs="仿宋"/>
          <w:color w:val="000000"/>
          <w:kern w:val="0"/>
          <w:sz w:val="30"/>
          <w:szCs w:val="30"/>
        </w:rPr>
        <w:t>四川省人民医院，香港大学玛丽医院，成都汇声科技有限公司</w:t>
      </w:r>
    </w:p>
    <w:p>
      <w:pPr>
        <w:adjustRightInd w:val="0"/>
        <w:snapToGrid w:val="0"/>
        <w:spacing w:line="500" w:lineRule="exact"/>
        <w:rPr>
          <w:rFonts w:ascii="仿宋" w:hAnsi="仿宋" w:eastAsia="仿宋"/>
          <w:color w:val="000000"/>
          <w:kern w:val="0"/>
          <w:sz w:val="30"/>
          <w:szCs w:val="30"/>
        </w:rPr>
      </w:pPr>
      <w:r>
        <w:rPr>
          <w:rFonts w:ascii="仿宋" w:hAnsi="仿宋" w:eastAsia="仿宋"/>
          <w:b/>
          <w:color w:val="000000"/>
          <w:kern w:val="0"/>
          <w:sz w:val="30"/>
          <w:szCs w:val="30"/>
        </w:rPr>
        <w:t>完成人（含排序）：</w:t>
      </w:r>
      <w:r>
        <w:rPr>
          <w:rFonts w:hint="eastAsia" w:ascii="仿宋" w:hAnsi="仿宋" w:eastAsia="仿宋"/>
          <w:color w:val="000000"/>
          <w:kern w:val="0"/>
          <w:sz w:val="30"/>
          <w:szCs w:val="30"/>
        </w:rPr>
        <w:t>尹立雪、黄多、萧颂华、岳文胜、谢盛华、熊佑全、周秘、杨芳、罗勇、张红梅、左明良、刘学兵、蒋体钢、邹媛、崔方昭</w:t>
      </w:r>
    </w:p>
    <w:p>
      <w:pPr>
        <w:adjustRightInd w:val="0"/>
        <w:snapToGrid w:val="0"/>
        <w:spacing w:line="500" w:lineRule="exact"/>
        <w:rPr>
          <w:rFonts w:hint="eastAsia" w:ascii="仿宋" w:hAnsi="仿宋" w:eastAsia="仿宋"/>
          <w:b/>
          <w:color w:val="000000"/>
          <w:kern w:val="0"/>
          <w:sz w:val="30"/>
          <w:szCs w:val="30"/>
        </w:rPr>
      </w:pPr>
      <w:r>
        <w:rPr>
          <w:rFonts w:ascii="仿宋" w:hAnsi="仿宋" w:eastAsia="仿宋"/>
          <w:b/>
          <w:color w:val="000000"/>
          <w:kern w:val="0"/>
          <w:sz w:val="30"/>
          <w:szCs w:val="30"/>
        </w:rPr>
        <w:t>项目简介（600—1</w:t>
      </w:r>
      <w:r>
        <w:rPr>
          <w:rFonts w:hint="eastAsia" w:ascii="仿宋" w:hAnsi="仿宋" w:eastAsia="仿宋"/>
          <w:b/>
          <w:color w:val="000000"/>
          <w:kern w:val="0"/>
          <w:sz w:val="30"/>
          <w:szCs w:val="30"/>
        </w:rPr>
        <w:t>2</w:t>
      </w:r>
      <w:r>
        <w:rPr>
          <w:rFonts w:ascii="仿宋" w:hAnsi="仿宋" w:eastAsia="仿宋"/>
          <w:b/>
          <w:color w:val="000000"/>
          <w:kern w:val="0"/>
          <w:sz w:val="30"/>
          <w:szCs w:val="30"/>
        </w:rPr>
        <w:t>00字，与申报推荐书</w:t>
      </w:r>
      <w:r>
        <w:rPr>
          <w:rFonts w:hint="eastAsia" w:ascii="仿宋" w:hAnsi="仿宋" w:eastAsia="仿宋"/>
          <w:b/>
          <w:color w:val="000000"/>
          <w:kern w:val="0"/>
          <w:sz w:val="30"/>
          <w:szCs w:val="30"/>
        </w:rPr>
        <w:t>“</w:t>
      </w:r>
      <w:r>
        <w:rPr>
          <w:rFonts w:ascii="仿宋" w:hAnsi="仿宋" w:eastAsia="仿宋"/>
          <w:b/>
          <w:color w:val="000000"/>
          <w:kern w:val="0"/>
          <w:sz w:val="30"/>
          <w:szCs w:val="30"/>
        </w:rPr>
        <w:t>项目简介</w:t>
      </w:r>
      <w:r>
        <w:rPr>
          <w:rFonts w:hint="eastAsia" w:ascii="仿宋" w:hAnsi="仿宋" w:eastAsia="仿宋"/>
          <w:b/>
          <w:color w:val="000000"/>
          <w:kern w:val="0"/>
          <w:sz w:val="30"/>
          <w:szCs w:val="30"/>
        </w:rPr>
        <w:t>”</w:t>
      </w:r>
      <w:r>
        <w:rPr>
          <w:rFonts w:ascii="仿宋" w:hAnsi="仿宋" w:eastAsia="仿宋"/>
          <w:b/>
          <w:color w:val="000000"/>
          <w:kern w:val="0"/>
          <w:sz w:val="30"/>
          <w:szCs w:val="30"/>
        </w:rPr>
        <w:t>一致）：</w:t>
      </w:r>
    </w:p>
    <w:p>
      <w:pPr>
        <w:adjustRightInd w:val="0"/>
        <w:snapToGrid w:val="0"/>
        <w:spacing w:line="50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心脑血管栓塞性疾病已经成为国内外威胁人类健康的公共卫生问题，欧美发达国家在心脑血管栓塞性疾病领域已具有较为成熟的评估系统和与时俱进的评估方法。我国心脑血管栓塞性疾病部分领域诊疗标准长期依赖欧美制定的指南，忽略种族差异，从发病机制-风险因素-防治策略不能完全解释和预测心脑血管栓塞性疾病发病和转归的规律，结合治疗的不规范防控，导致了临床漏诊误诊和治疗上高发生率并发症，我国心脑血管栓塞性疾病防控体系的建设仍处于探索和完善阶段。本科研团队自201</w:t>
      </w:r>
      <w:r>
        <w:rPr>
          <w:rFonts w:ascii="仿宋" w:hAnsi="仿宋" w:eastAsia="仿宋"/>
          <w:color w:val="000000"/>
          <w:kern w:val="0"/>
          <w:sz w:val="30"/>
          <w:szCs w:val="30"/>
        </w:rPr>
        <w:t>1</w:t>
      </w:r>
      <w:r>
        <w:rPr>
          <w:rFonts w:hint="eastAsia" w:ascii="仿宋" w:hAnsi="仿宋" w:eastAsia="仿宋"/>
          <w:color w:val="000000"/>
          <w:kern w:val="0"/>
          <w:sz w:val="30"/>
          <w:szCs w:val="30"/>
        </w:rPr>
        <w:t>年以来严密制定研究方案，深入研究中国人群心脑血管栓塞性疾病血管内皮功能与线粒体功能障碍及血管修复指标等内在联系，进行不同疾病状态下抗凝治疗疗效及并发症分析，拓展远程智能手机PPG应用程序监测诊断Cardio心律软件开发和评估。现有研究结果指导和拓展更为精确的中国人群心脑血管栓塞性疾病诊断、药物以及非药物干预策略实施，降低并发症，提高心脑血管栓塞性疾病监测能力和完善心脑血管损害风险分层，建立新的治疗方法和方案，指导临床采取更为积极有效的治疗措施降低疾病的病残率和死亡率。</w:t>
      </w:r>
    </w:p>
    <w:p>
      <w:pPr>
        <w:adjustRightInd w:val="0"/>
        <w:snapToGrid w:val="0"/>
        <w:spacing w:line="50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目前本项目研究成果已在国内外发表文章140篇，论文总引用频次为18740次，总计影响因子1010分。其中有101篇论文被SCI收录，单篇论文年度影响因子最高为51.273分，单篇最高被引用179次。</w:t>
      </w:r>
      <w:r>
        <w:rPr>
          <w:rFonts w:ascii="仿宋" w:hAnsi="仿宋" w:eastAsia="仿宋"/>
          <w:color w:val="000000"/>
          <w:kern w:val="0"/>
          <w:sz w:val="30"/>
          <w:szCs w:val="30"/>
        </w:rPr>
        <w:t>本次选出代表性论著</w:t>
      </w:r>
      <w:r>
        <w:rPr>
          <w:rFonts w:hint="eastAsia" w:ascii="仿宋" w:hAnsi="仿宋" w:eastAsia="仿宋"/>
          <w:color w:val="000000"/>
          <w:kern w:val="0"/>
          <w:sz w:val="30"/>
          <w:szCs w:val="30"/>
        </w:rPr>
        <w:t>1</w:t>
      </w:r>
      <w:r>
        <w:rPr>
          <w:rFonts w:ascii="仿宋" w:hAnsi="仿宋" w:eastAsia="仿宋"/>
          <w:color w:val="000000"/>
          <w:kern w:val="0"/>
          <w:sz w:val="30"/>
          <w:szCs w:val="30"/>
        </w:rPr>
        <w:t>5篇角逐华夏医学科技奖，其中SCI收录</w:t>
      </w:r>
      <w:r>
        <w:rPr>
          <w:rFonts w:hint="eastAsia" w:ascii="仿宋" w:hAnsi="仿宋" w:eastAsia="仿宋"/>
          <w:color w:val="000000"/>
          <w:kern w:val="0"/>
          <w:sz w:val="30"/>
          <w:szCs w:val="30"/>
        </w:rPr>
        <w:t>1</w:t>
      </w:r>
      <w:r>
        <w:rPr>
          <w:rFonts w:ascii="仿宋" w:hAnsi="仿宋" w:eastAsia="仿宋"/>
          <w:color w:val="000000"/>
          <w:kern w:val="0"/>
          <w:sz w:val="30"/>
          <w:szCs w:val="30"/>
        </w:rPr>
        <w:t>2篇，总引用频次为563次，单篇最高引用频次</w:t>
      </w:r>
      <w:r>
        <w:rPr>
          <w:rFonts w:hint="eastAsia" w:ascii="仿宋" w:hAnsi="仿宋" w:eastAsia="仿宋"/>
          <w:color w:val="000000"/>
          <w:kern w:val="0"/>
          <w:sz w:val="30"/>
          <w:szCs w:val="30"/>
        </w:rPr>
        <w:t>1</w:t>
      </w:r>
      <w:r>
        <w:rPr>
          <w:rFonts w:ascii="仿宋" w:hAnsi="仿宋" w:eastAsia="仿宋"/>
          <w:color w:val="000000"/>
          <w:kern w:val="0"/>
          <w:sz w:val="30"/>
          <w:szCs w:val="30"/>
        </w:rPr>
        <w:t>00次，总计影响因子89.938分，单篇论文年度影响因子最高为23</w:t>
      </w:r>
      <w:r>
        <w:rPr>
          <w:rFonts w:hint="eastAsia" w:ascii="仿宋" w:hAnsi="仿宋" w:eastAsia="仿宋"/>
          <w:color w:val="000000"/>
          <w:kern w:val="0"/>
          <w:sz w:val="30"/>
          <w:szCs w:val="30"/>
        </w:rPr>
        <w:t>.</w:t>
      </w:r>
      <w:r>
        <w:rPr>
          <w:rFonts w:ascii="仿宋" w:hAnsi="仿宋" w:eastAsia="仿宋"/>
          <w:color w:val="000000"/>
          <w:kern w:val="0"/>
          <w:sz w:val="30"/>
          <w:szCs w:val="30"/>
        </w:rPr>
        <w:t>603分。</w:t>
      </w:r>
      <w:r>
        <w:rPr>
          <w:rFonts w:hint="eastAsia" w:ascii="仿宋" w:hAnsi="仿宋" w:eastAsia="仿宋"/>
          <w:color w:val="000000"/>
          <w:kern w:val="0"/>
          <w:sz w:val="30"/>
          <w:szCs w:val="30"/>
        </w:rPr>
        <w:t>目前该项目研究结果已融入到</w:t>
      </w:r>
      <w:r>
        <w:rPr>
          <w:rFonts w:ascii="仿宋" w:hAnsi="仿宋" w:eastAsia="仿宋"/>
          <w:color w:val="000000"/>
          <w:kern w:val="0"/>
          <w:sz w:val="30"/>
          <w:szCs w:val="30"/>
        </w:rPr>
        <w:t>3</w:t>
      </w:r>
      <w:r>
        <w:rPr>
          <w:rFonts w:hint="eastAsia" w:ascii="仿宋" w:hAnsi="仿宋" w:eastAsia="仿宋"/>
          <w:color w:val="000000"/>
          <w:kern w:val="0"/>
          <w:sz w:val="30"/>
          <w:szCs w:val="30"/>
        </w:rPr>
        <w:t>0余家国内知名科研院所和各级医院的临床及科研工作中，一致认为该项目对补充和完善中国人群心脑血管栓塞性疾病风险发病机制，在临床和科研应用中实施更为精确的中国人群心脑血管栓塞性疾病诊断、药物以及非药物干预策略实施，提高心脑血管栓塞性疾病监测能力和完善心脑血管损害风险分层，降低并发症，科学合理、安全性和实用性强，建议向各级医院继续推广应用，尽快提高各级医院心脑血管栓塞性疾病规范防控防治能力。</w:t>
      </w:r>
    </w:p>
    <w:p>
      <w:pPr>
        <w:adjustRightInd w:val="0"/>
        <w:snapToGrid w:val="0"/>
        <w:spacing w:line="500" w:lineRule="exact"/>
        <w:rPr>
          <w:rFonts w:hint="eastAsia" w:ascii="仿宋" w:hAnsi="仿宋" w:eastAsia="仿宋"/>
          <w:b/>
          <w:color w:val="000000"/>
          <w:kern w:val="0"/>
          <w:sz w:val="28"/>
          <w:szCs w:val="28"/>
        </w:rPr>
      </w:pPr>
      <w:r>
        <w:rPr>
          <w:rFonts w:hint="eastAsia" w:ascii="仿宋" w:hAnsi="仿宋" w:eastAsia="仿宋"/>
          <w:b/>
          <w:color w:val="000000"/>
          <w:kern w:val="0"/>
          <w:sz w:val="28"/>
          <w:szCs w:val="28"/>
        </w:rPr>
        <w:t>主要知识产权证明目录：（与申报推荐书“主要知识产权证明情况表”）一致）</w:t>
      </w:r>
    </w:p>
    <w:tbl>
      <w:tblPr>
        <w:tblStyle w:val="4"/>
        <w:tblW w:w="85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30"/>
        <w:gridCol w:w="1025"/>
        <w:gridCol w:w="993"/>
        <w:gridCol w:w="850"/>
        <w:gridCol w:w="818"/>
        <w:gridCol w:w="1308"/>
        <w:gridCol w:w="10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知识产权类别</w:t>
            </w:r>
          </w:p>
        </w:tc>
        <w:tc>
          <w:tcPr>
            <w:tcW w:w="1430" w:type="dxa"/>
            <w:noWrap w:val="0"/>
            <w:vAlign w:val="center"/>
          </w:tcPr>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知识产权</w:t>
            </w:r>
          </w:p>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具体名称</w:t>
            </w:r>
          </w:p>
        </w:tc>
        <w:tc>
          <w:tcPr>
            <w:tcW w:w="1025" w:type="dxa"/>
            <w:noWrap w:val="0"/>
            <w:vAlign w:val="center"/>
          </w:tcPr>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国家</w:t>
            </w:r>
          </w:p>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（地区）</w:t>
            </w:r>
          </w:p>
        </w:tc>
        <w:tc>
          <w:tcPr>
            <w:tcW w:w="993" w:type="dxa"/>
            <w:noWrap w:val="0"/>
            <w:vAlign w:val="center"/>
          </w:tcPr>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授权号</w:t>
            </w:r>
          </w:p>
        </w:tc>
        <w:tc>
          <w:tcPr>
            <w:tcW w:w="850" w:type="dxa"/>
            <w:noWrap w:val="0"/>
            <w:vAlign w:val="center"/>
          </w:tcPr>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授权</w:t>
            </w:r>
          </w:p>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日期</w:t>
            </w:r>
          </w:p>
        </w:tc>
        <w:tc>
          <w:tcPr>
            <w:tcW w:w="818" w:type="dxa"/>
            <w:noWrap w:val="0"/>
            <w:vAlign w:val="center"/>
          </w:tcPr>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308" w:type="dxa"/>
            <w:noWrap w:val="0"/>
            <w:vAlign w:val="center"/>
          </w:tcPr>
          <w:p>
            <w:pPr>
              <w:spacing w:line="0" w:lineRule="atLeast"/>
              <w:jc w:val="center"/>
              <w:rPr>
                <w:rFonts w:hint="eastAsia" w:ascii="仿宋" w:hAnsi="仿宋" w:eastAsia="仿宋" w:cs="仿宋"/>
                <w:sz w:val="28"/>
                <w:szCs w:val="28"/>
              </w:rPr>
            </w:pPr>
            <w:r>
              <w:rPr>
                <w:rFonts w:hint="eastAsia" w:ascii="仿宋" w:hAnsi="仿宋" w:eastAsia="仿宋" w:cs="仿宋"/>
                <w:sz w:val="28"/>
                <w:szCs w:val="28"/>
              </w:rPr>
              <w:t>权利人</w:t>
            </w:r>
          </w:p>
        </w:tc>
        <w:tc>
          <w:tcPr>
            <w:tcW w:w="1076" w:type="dxa"/>
            <w:noWrap w:val="0"/>
            <w:vAlign w:val="center"/>
          </w:tcPr>
          <w:p>
            <w:pPr>
              <w:spacing w:line="0" w:lineRule="atLeast"/>
              <w:ind w:left="135"/>
              <w:jc w:val="center"/>
              <w:rPr>
                <w:rFonts w:hint="eastAsia" w:ascii="仿宋" w:hAnsi="仿宋" w:eastAsia="仿宋" w:cs="仿宋"/>
                <w:sz w:val="28"/>
                <w:szCs w:val="28"/>
              </w:rPr>
            </w:pPr>
            <w:r>
              <w:rPr>
                <w:rFonts w:hint="eastAsia" w:ascii="仿宋" w:hAnsi="仿宋" w:eastAsia="仿宋" w:cs="仿宋"/>
                <w:sz w:val="28"/>
                <w:szCs w:val="28"/>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发明专利</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基于心肌运动轨迹的向量环图生成方法和装置</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ZL201110163626.0</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2014.05.07</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1396024</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四川省医学科学院（四川省人民医院）</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蒋体钢；尹立雪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发明专利</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基于多领域辅助二维超声形变组织图像跟踪方法及装置</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ZL201110164583.8</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2014.05.07</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1395955</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四川省医学科学院（四川省人民医院）</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蒋体钢；尹立雪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发明专利</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一种超声造影剂及其制备方法</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ZL201610543642.5</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2018.12.18</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3184344</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四川省人民医院</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刘学兵；尹立雪；陈敏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发明专利</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基于多普勒图像信息的心脏流场速度矢量场可视化描述方法</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sz w:val="28"/>
                <w:szCs w:val="28"/>
              </w:rPr>
              <w:t>ZL201010261907.5</w:t>
            </w:r>
          </w:p>
          <w:p>
            <w:pPr>
              <w:pStyle w:val="2"/>
              <w:spacing w:line="390" w:lineRule="exact"/>
              <w:ind w:firstLine="0" w:firstLineChars="0"/>
              <w:jc w:val="left"/>
              <w:rPr>
                <w:rFonts w:hint="eastAsia" w:ascii="仿宋" w:hAnsi="仿宋" w:eastAsia="仿宋" w:cs="仿宋"/>
                <w:color w:val="000000"/>
                <w:sz w:val="28"/>
                <w:szCs w:val="28"/>
              </w:rPr>
            </w:pP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2013.03.20</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1154805</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四川省医学科学院（四川省人民医院）</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谢盛华；尹立雪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发明专利</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基于多普勒图像信息的心脏流场平面流线可视化描述方法</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ZL201010261910.7</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2012.07.25</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1013971</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四川省医学科学院（四川省人民医院）</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谢盛华；</w:t>
            </w:r>
          </w:p>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尹立雪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计算机软件著作权</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基于WiFi探头型超声设备安卓手机版超声诊断系统软件[简称：WANDPH]V1.0</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2017SR709157</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2017.01.18</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软著登字第2294441号</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成都汇声科技有限公司</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计算机软件著作权</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基于USB探头型超声设备安卓手机版超声诊断系统软件[简称：ANDPH]V1.0</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2017SR709148</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2016.12.14</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软著登字第2294432号</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成都汇声科技有限公司</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计算机软件著作权</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基于USB探头型超声设备安卓平板超声诊断系统软件[简称：ANDPAD]V1.0</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2017SR709036</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2017.02.09</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软著登字第2294320号</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成都汇声科技有限公司</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计算机软件著作权</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基于USB探头型移动超声设备专属USB2.0测试工具系统软件[简称：USBTest]V1.0</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2017SR708952</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2016.09.14</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软著登字第2294236号</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成都汇声科技有限公司</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计算机软件著作权</w:t>
            </w:r>
          </w:p>
        </w:tc>
        <w:tc>
          <w:tcPr>
            <w:tcW w:w="143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基于平面波超声聚焦图像增强软件系统[简称：平面波超声图像处理系统]V1.0</w:t>
            </w:r>
          </w:p>
        </w:tc>
        <w:tc>
          <w:tcPr>
            <w:tcW w:w="1025"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中国</w:t>
            </w:r>
          </w:p>
        </w:tc>
        <w:tc>
          <w:tcPr>
            <w:tcW w:w="993"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2015SR153509</w:t>
            </w:r>
          </w:p>
        </w:tc>
        <w:tc>
          <w:tcPr>
            <w:tcW w:w="850"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2015.07.23</w:t>
            </w:r>
          </w:p>
        </w:tc>
        <w:tc>
          <w:tcPr>
            <w:tcW w:w="81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软著登字第1040595号</w:t>
            </w:r>
          </w:p>
        </w:tc>
        <w:tc>
          <w:tcPr>
            <w:tcW w:w="1308"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成都汇声科技有限公司</w:t>
            </w:r>
          </w:p>
        </w:tc>
        <w:tc>
          <w:tcPr>
            <w:tcW w:w="1076" w:type="dxa"/>
            <w:noWrap w:val="0"/>
            <w:vAlign w:val="top"/>
          </w:tcPr>
          <w:p>
            <w:pPr>
              <w:pStyle w:val="2"/>
              <w:spacing w:line="390" w:lineRule="exact"/>
              <w:ind w:firstLine="0" w:firstLineChars="0"/>
              <w:jc w:val="left"/>
              <w:rPr>
                <w:rFonts w:hint="eastAsia" w:ascii="仿宋" w:hAnsi="仿宋" w:eastAsia="仿宋" w:cs="仿宋"/>
                <w:color w:val="000000"/>
                <w:sz w:val="28"/>
                <w:szCs w:val="28"/>
              </w:rPr>
            </w:pPr>
          </w:p>
        </w:tc>
      </w:tr>
    </w:tbl>
    <w:p>
      <w:pPr>
        <w:adjustRightInd w:val="0"/>
        <w:snapToGrid w:val="0"/>
        <w:spacing w:line="500" w:lineRule="exact"/>
        <w:rPr>
          <w:rFonts w:hint="eastAsia" w:ascii="仿宋" w:hAnsi="仿宋" w:eastAsia="仿宋"/>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v:textbox inset="0mm,0mm,0mm,0mm" style="mso-fit-shape-to-text:t;">
                <w:txbxContent>
                  <w:p>
                    <w:pPr>
                      <w:pStyle w:val="3"/>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85D93"/>
    <w:rsid w:val="7FA8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2021-05-10T07:51:00Z</dcterms:created>
  <dc:creator>曾曾妹儿</dc:creator>
  <cp:lastModifiedBy>曾曾妹儿</cp:lastModifiedBy>
  <dcterms:modified xsi:type="dcterms:W3CDTF">2021-05-10T07:51:45Z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