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32"/>
          <w:szCs w:val="32"/>
        </w:rPr>
      </w:pPr>
      <w:r>
        <w:rPr>
          <w:rFonts w:hint="eastAsia"/>
          <w:sz w:val="44"/>
          <w:szCs w:val="44"/>
        </w:rPr>
        <w:t>附件</w:t>
      </w:r>
    </w:p>
    <w:p>
      <w:pPr>
        <w:numPr>
          <w:ilvl w:val="0"/>
          <w:numId w:val="1"/>
        </w:numPr>
        <w:rPr>
          <w:rFonts w:hint="eastAsia" w:ascii="宋体" w:hAnsi="宋体" w:eastAsia="宋体"/>
          <w:sz w:val="28"/>
          <w:szCs w:val="28"/>
        </w:rPr>
      </w:pPr>
      <w:r>
        <w:rPr>
          <w:rFonts w:hint="eastAsia" w:ascii="黑体" w:hAnsi="黑体" w:eastAsia="黑体" w:cs="黑体"/>
          <w:b/>
          <w:bCs/>
          <w:sz w:val="32"/>
          <w:szCs w:val="32"/>
        </w:rPr>
        <w:t>项目名称：</w:t>
      </w:r>
      <w:bookmarkStart w:id="0" w:name="_Hlk65947305"/>
      <w:r>
        <w:rPr>
          <w:rFonts w:hint="eastAsia" w:ascii="宋体" w:hAnsi="宋体" w:eastAsia="宋体"/>
          <w:b/>
          <w:bCs/>
          <w:sz w:val="28"/>
          <w:szCs w:val="28"/>
        </w:rPr>
        <w:t>乳腺癌侵袭转移的基础与临床转化研究</w:t>
      </w:r>
      <w:bookmarkEnd w:id="0"/>
    </w:p>
    <w:p>
      <w:pPr>
        <w:numPr>
          <w:ilvl w:val="0"/>
          <w:numId w:val="1"/>
        </w:numPr>
        <w:rPr>
          <w:rFonts w:ascii="仿宋" w:hAnsi="仿宋" w:eastAsia="仿宋" w:cs="仿宋"/>
          <w:sz w:val="32"/>
          <w:szCs w:val="32"/>
        </w:rPr>
      </w:pPr>
      <w:r>
        <w:rPr>
          <w:rFonts w:hint="eastAsia" w:ascii="黑体" w:hAnsi="黑体" w:eastAsia="黑体" w:cs="黑体"/>
          <w:b/>
          <w:bCs/>
          <w:sz w:val="32"/>
          <w:szCs w:val="32"/>
        </w:rPr>
        <w:t xml:space="preserve">提名者：  </w:t>
      </w:r>
      <w:bookmarkStart w:id="1" w:name="_GoBack"/>
      <w:r>
        <w:rPr>
          <w:rFonts w:hint="eastAsia" w:ascii="黑体" w:hAnsi="黑体" w:eastAsia="黑体" w:cs="黑体"/>
          <w:b w:val="0"/>
          <w:bCs w:val="0"/>
          <w:sz w:val="32"/>
          <w:szCs w:val="32"/>
        </w:rPr>
        <w:t>南充市人民政府</w:t>
      </w:r>
      <w:bookmarkEnd w:id="1"/>
    </w:p>
    <w:p>
      <w:pPr>
        <w:numPr>
          <w:ilvl w:val="0"/>
          <w:numId w:val="1"/>
        </w:numPr>
        <w:rPr>
          <w:rFonts w:ascii="黑体" w:hAnsi="黑体" w:eastAsia="黑体" w:cs="黑体"/>
          <w:b/>
          <w:bCs/>
          <w:sz w:val="32"/>
          <w:szCs w:val="32"/>
        </w:rPr>
      </w:pPr>
      <w:r>
        <w:rPr>
          <w:rFonts w:hint="eastAsia" w:ascii="黑体" w:hAnsi="黑体" w:eastAsia="黑体" w:cs="黑体"/>
          <w:b/>
          <w:bCs/>
          <w:sz w:val="32"/>
          <w:szCs w:val="32"/>
        </w:rPr>
        <w:t>提名意见</w:t>
      </w:r>
    </w:p>
    <w:p>
      <w:pPr>
        <w:tabs>
          <w:tab w:val="left" w:pos="726"/>
        </w:tabs>
        <w:ind w:firstLine="560" w:firstLineChars="200"/>
        <w:rPr>
          <w:rFonts w:ascii="宋体" w:hAnsi="宋体" w:eastAsia="宋体"/>
          <w:sz w:val="28"/>
          <w:szCs w:val="28"/>
        </w:rPr>
      </w:pPr>
      <w:r>
        <w:rPr>
          <w:rFonts w:hint="eastAsia" w:ascii="宋体" w:hAnsi="宋体" w:eastAsia="宋体"/>
          <w:sz w:val="28"/>
          <w:szCs w:val="28"/>
        </w:rPr>
        <w:t>本项目结合目前医学研究热点与临床工作中亟待解决的关键科学技术问题，从多学科交叉的角度，系统分析乳腺癌侵袭转移的基础与临床转化研究，主要研究内容如下：（1）研究通过差异蛋白质组学、转录组测序、生物信息学方法筛选出了D</w:t>
      </w:r>
      <w:r>
        <w:rPr>
          <w:rFonts w:ascii="宋体" w:hAnsi="宋体" w:eastAsia="宋体"/>
          <w:sz w:val="28"/>
          <w:szCs w:val="28"/>
        </w:rPr>
        <w:t>NAPTP3</w:t>
      </w:r>
      <w:r>
        <w:rPr>
          <w:rFonts w:hint="eastAsia" w:ascii="宋体" w:hAnsi="宋体" w:eastAsia="宋体"/>
          <w:sz w:val="28"/>
          <w:szCs w:val="28"/>
        </w:rPr>
        <w:t>、D</w:t>
      </w:r>
      <w:r>
        <w:rPr>
          <w:rFonts w:ascii="宋体" w:hAnsi="宋体" w:eastAsia="宋体"/>
          <w:sz w:val="28"/>
          <w:szCs w:val="28"/>
        </w:rPr>
        <w:t>NAJB4</w:t>
      </w:r>
      <w:r>
        <w:rPr>
          <w:rFonts w:hint="eastAsia" w:ascii="宋体" w:hAnsi="宋体" w:eastAsia="宋体"/>
          <w:sz w:val="28"/>
          <w:szCs w:val="28"/>
        </w:rPr>
        <w:t>、</w:t>
      </w:r>
      <w:r>
        <w:rPr>
          <w:rFonts w:ascii="宋体" w:hAnsi="宋体" w:eastAsia="宋体"/>
          <w:sz w:val="28"/>
          <w:szCs w:val="28"/>
        </w:rPr>
        <w:t>A</w:t>
      </w:r>
      <w:r>
        <w:rPr>
          <w:rFonts w:hint="eastAsia" w:ascii="宋体" w:hAnsi="宋体" w:eastAsia="宋体"/>
          <w:sz w:val="28"/>
          <w:szCs w:val="28"/>
        </w:rPr>
        <w:t>nnexin</w:t>
      </w:r>
      <w:r>
        <w:rPr>
          <w:rFonts w:ascii="宋体" w:hAnsi="宋体" w:eastAsia="宋体"/>
          <w:sz w:val="28"/>
          <w:szCs w:val="28"/>
        </w:rPr>
        <w:t xml:space="preserve"> A</w:t>
      </w:r>
      <w:r>
        <w:rPr>
          <w:rFonts w:hint="eastAsia" w:ascii="宋体" w:hAnsi="宋体" w:eastAsia="宋体"/>
          <w:sz w:val="28"/>
          <w:szCs w:val="28"/>
        </w:rPr>
        <w:t>2、F</w:t>
      </w:r>
      <w:r>
        <w:rPr>
          <w:rFonts w:ascii="宋体" w:hAnsi="宋体" w:eastAsia="宋体"/>
          <w:sz w:val="28"/>
          <w:szCs w:val="28"/>
        </w:rPr>
        <w:t>AT4</w:t>
      </w:r>
      <w:r>
        <w:rPr>
          <w:rFonts w:hint="eastAsia" w:ascii="宋体" w:hAnsi="宋体" w:eastAsia="宋体"/>
          <w:sz w:val="28"/>
          <w:szCs w:val="28"/>
        </w:rPr>
        <w:t>等乳腺癌的生物学靶标，并通过细胞学和动物学模型证实了该系列差异基因的生物学功能，为乳腺癌的早期筛选与预后判断提供了有力证据；（2）研究证实了相关靶标通过Hippo信号通路、</w:t>
      </w:r>
      <w:r>
        <w:rPr>
          <w:rFonts w:ascii="宋体" w:hAnsi="宋体" w:eastAsia="宋体"/>
          <w:sz w:val="28"/>
          <w:szCs w:val="28"/>
        </w:rPr>
        <w:t>TGF-β1/Smad/snail</w:t>
      </w:r>
      <w:r>
        <w:rPr>
          <w:rFonts w:hint="eastAsia" w:ascii="宋体" w:hAnsi="宋体" w:eastAsia="宋体"/>
          <w:sz w:val="28"/>
          <w:szCs w:val="28"/>
        </w:rPr>
        <w:t>信号通路、诱导自噬等生物学效应调节乳腺癌细胞的侵袭转移，为乳腺癌的发病机制与侵袭原因提供了重要依据；（3）通过新辅助化疗对局部晚期乳腺癌的疗效分析，证实了局部晚期乳腺癌改善生存的有效手段，为新辅助化疗方案的选择提供重要理论依据；（4）系列研究证实槐尔多糖通过D</w:t>
      </w:r>
      <w:r>
        <w:rPr>
          <w:rFonts w:ascii="宋体" w:hAnsi="宋体" w:eastAsia="宋体"/>
          <w:sz w:val="28"/>
          <w:szCs w:val="28"/>
        </w:rPr>
        <w:t>NAPTP3-FN1</w:t>
      </w:r>
      <w:r>
        <w:rPr>
          <w:rFonts w:hint="eastAsia" w:ascii="宋体" w:hAnsi="宋体" w:eastAsia="宋体"/>
          <w:sz w:val="28"/>
          <w:szCs w:val="28"/>
        </w:rPr>
        <w:t>诱导自噬，提高三阴性乳腺癌的远期预后，并在多中心的真实世界研究中证实槐尔多糖改善乳腺癌预后的临床意义；（5）通过临床大数据研究评估了腋窝淋巴结转移N</w:t>
      </w:r>
      <w:r>
        <w:rPr>
          <w:rFonts w:ascii="宋体" w:hAnsi="宋体" w:eastAsia="宋体"/>
          <w:sz w:val="28"/>
          <w:szCs w:val="28"/>
        </w:rPr>
        <w:t>1</w:t>
      </w:r>
      <w:r>
        <w:rPr>
          <w:rFonts w:hint="eastAsia" w:ascii="宋体" w:hAnsi="宋体" w:eastAsia="宋体"/>
          <w:sz w:val="28"/>
          <w:szCs w:val="28"/>
        </w:rPr>
        <w:t>期患者放疗干预的合理性，提出腋窝淋巴结1枚转移时豁免放疗的可能性；通过真实世界回顾性研究分析了锁骨上淋巴结转移患者手术清扫联合放疗与单纯放疗的预后差异，并分析得出从手术清扫获益的亚组人群，对临床有重要指导意义。</w:t>
      </w:r>
    </w:p>
    <w:p>
      <w:pPr>
        <w:ind w:firstLine="560" w:firstLineChars="200"/>
        <w:rPr>
          <w:rFonts w:ascii="宋体" w:hAnsi="宋体" w:eastAsia="宋体" w:cs="黑体"/>
          <w:b/>
          <w:bCs/>
          <w:sz w:val="28"/>
          <w:szCs w:val="28"/>
        </w:rPr>
      </w:pPr>
      <w:r>
        <w:rPr>
          <w:rFonts w:hint="eastAsia" w:ascii="宋体" w:hAnsi="宋体" w:eastAsia="宋体"/>
          <w:sz w:val="28"/>
          <w:szCs w:val="28"/>
        </w:rPr>
        <w:t>该系列研究成果为乳腺癌的基础研究与临床诊治提供了科学参考，产生了重大的社会效益，具有重大的临床应用价值及推广意义。基于侯令密博士课题组所做出的突出贡献和广泛的社会效益，我单位同意提名该项目申报四川省科技进步奖。</w:t>
      </w:r>
    </w:p>
    <w:p>
      <w:pPr>
        <w:rPr>
          <w:rFonts w:ascii="黑体" w:hAnsi="黑体" w:eastAsia="黑体" w:cs="黑体"/>
          <w:b/>
          <w:bCs/>
          <w:sz w:val="32"/>
          <w:szCs w:val="32"/>
        </w:rPr>
      </w:pP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项目简介</w:t>
      </w:r>
    </w:p>
    <w:p>
      <w:pPr>
        <w:ind w:firstLine="560" w:firstLineChars="200"/>
        <w:rPr>
          <w:rFonts w:ascii="宋体" w:hAnsi="宋体" w:eastAsia="宋体"/>
          <w:sz w:val="28"/>
          <w:szCs w:val="28"/>
        </w:rPr>
      </w:pPr>
      <w:r>
        <w:rPr>
          <w:rFonts w:hint="eastAsia" w:ascii="宋体" w:hAnsi="宋体" w:eastAsia="宋体"/>
          <w:sz w:val="28"/>
          <w:szCs w:val="28"/>
        </w:rPr>
        <w:t>本项目结合目前医学研究热点与临床工作中亟待解决的关键科学技术问题，从多学科交叉的角度，系统分析乳腺癌侵袭转移的机制，并进行系列基础与临床转化研究，研究主要分为三个维度：第一乳腺癌生物学靶标的筛选与验证工作：通过各种科学研究技术筛选出可能影响乳腺癌发生发展的相关基因，并进行细胞、动物、人体组织层面的相关验证；第二相关重要差异基因影响乳腺癌细胞生物学行为的机制探讨：对与前期研究发现的有重要科学意义的差异基因，进行进一步的机制探讨，在理论上明确其影响乳腺癌的深入原因；第三通过基础临床转化，解决重要临床问题：通过药物、手术、放疗等干预，结合目前临床热点难点问题，提出课题组有效的解决办法。</w:t>
      </w:r>
    </w:p>
    <w:p>
      <w:pPr>
        <w:ind w:firstLine="560" w:firstLineChars="200"/>
        <w:rPr>
          <w:rFonts w:ascii="宋体" w:hAnsi="宋体" w:eastAsia="宋体"/>
          <w:sz w:val="28"/>
          <w:szCs w:val="28"/>
        </w:rPr>
      </w:pPr>
      <w:r>
        <w:rPr>
          <w:rFonts w:hint="eastAsia" w:ascii="宋体" w:hAnsi="宋体" w:eastAsia="宋体"/>
          <w:sz w:val="28"/>
          <w:szCs w:val="28"/>
        </w:rPr>
        <w:t>主要研究内容如下：（1）研究通过差异蛋白质组学、转录组测序、生物信息学方法筛选出了D</w:t>
      </w:r>
      <w:r>
        <w:rPr>
          <w:rFonts w:ascii="宋体" w:hAnsi="宋体" w:eastAsia="宋体"/>
          <w:sz w:val="28"/>
          <w:szCs w:val="28"/>
        </w:rPr>
        <w:t>NAPTP3</w:t>
      </w:r>
      <w:r>
        <w:rPr>
          <w:rFonts w:hint="eastAsia" w:ascii="宋体" w:hAnsi="宋体" w:eastAsia="宋体"/>
          <w:sz w:val="28"/>
          <w:szCs w:val="28"/>
        </w:rPr>
        <w:t>、D</w:t>
      </w:r>
      <w:r>
        <w:rPr>
          <w:rFonts w:ascii="宋体" w:hAnsi="宋体" w:eastAsia="宋体"/>
          <w:sz w:val="28"/>
          <w:szCs w:val="28"/>
        </w:rPr>
        <w:t>NAJB4</w:t>
      </w:r>
      <w:r>
        <w:rPr>
          <w:rFonts w:hint="eastAsia" w:ascii="宋体" w:hAnsi="宋体" w:eastAsia="宋体"/>
          <w:sz w:val="28"/>
          <w:szCs w:val="28"/>
        </w:rPr>
        <w:t>、</w:t>
      </w:r>
      <w:r>
        <w:rPr>
          <w:rFonts w:ascii="宋体" w:hAnsi="宋体" w:eastAsia="宋体"/>
          <w:sz w:val="28"/>
          <w:szCs w:val="28"/>
        </w:rPr>
        <w:t>A</w:t>
      </w:r>
      <w:r>
        <w:rPr>
          <w:rFonts w:hint="eastAsia" w:ascii="宋体" w:hAnsi="宋体" w:eastAsia="宋体"/>
          <w:sz w:val="28"/>
          <w:szCs w:val="28"/>
        </w:rPr>
        <w:t>nnexin</w:t>
      </w:r>
      <w:r>
        <w:rPr>
          <w:rFonts w:ascii="宋体" w:hAnsi="宋体" w:eastAsia="宋体"/>
          <w:sz w:val="28"/>
          <w:szCs w:val="28"/>
        </w:rPr>
        <w:t xml:space="preserve"> A</w:t>
      </w:r>
      <w:r>
        <w:rPr>
          <w:rFonts w:hint="eastAsia" w:ascii="宋体" w:hAnsi="宋体" w:eastAsia="宋体"/>
          <w:sz w:val="28"/>
          <w:szCs w:val="28"/>
        </w:rPr>
        <w:t>2、F</w:t>
      </w:r>
      <w:r>
        <w:rPr>
          <w:rFonts w:ascii="宋体" w:hAnsi="宋体" w:eastAsia="宋体"/>
          <w:sz w:val="28"/>
          <w:szCs w:val="28"/>
        </w:rPr>
        <w:t>AT4</w:t>
      </w:r>
      <w:r>
        <w:rPr>
          <w:rFonts w:hint="eastAsia" w:ascii="宋体" w:hAnsi="宋体" w:eastAsia="宋体"/>
          <w:sz w:val="28"/>
          <w:szCs w:val="28"/>
        </w:rPr>
        <w:t>等乳腺癌的生物学靶标，并通过细胞学和动物学模型证实了该系列差异基因的生物学功能，为乳腺癌的早期筛选与预后判断提供了有力证据；（2）研究进一步证实了前期发现的乳腺癌相关生物学靶标，影响乳腺癌生物学行为的深层次原因，发现了相关靶标通过Hippo信号通路、</w:t>
      </w:r>
      <w:r>
        <w:rPr>
          <w:rFonts w:ascii="宋体" w:hAnsi="宋体" w:eastAsia="宋体"/>
          <w:sz w:val="28"/>
          <w:szCs w:val="28"/>
        </w:rPr>
        <w:t>TGF-β1/Smad/snail</w:t>
      </w:r>
      <w:r>
        <w:rPr>
          <w:rFonts w:hint="eastAsia" w:ascii="宋体" w:hAnsi="宋体" w:eastAsia="宋体"/>
          <w:sz w:val="28"/>
          <w:szCs w:val="28"/>
        </w:rPr>
        <w:t>信号通路、诱导自噬等多条生物学效应调节乳腺癌细胞的侵袭转移，为乳腺癌的发病机制与侵袭原因提供了重要依据；（3）通过新辅助化疗对局部晚期乳腺癌的疗效分析，证实了局部晚期乳腺癌改善生存的有效手段，在对局部晚期乳腺癌疗效监测、手术时机的把控方面提出新的见解，为新辅助化疗方案的选择提供重要理论依据；（4）系列研究证实槐尔多糖通过D</w:t>
      </w:r>
      <w:r>
        <w:rPr>
          <w:rFonts w:ascii="宋体" w:hAnsi="宋体" w:eastAsia="宋体"/>
          <w:sz w:val="28"/>
          <w:szCs w:val="28"/>
        </w:rPr>
        <w:t>NAPTP3-FN1</w:t>
      </w:r>
      <w:r>
        <w:rPr>
          <w:rFonts w:hint="eastAsia" w:ascii="宋体" w:hAnsi="宋体" w:eastAsia="宋体"/>
          <w:sz w:val="28"/>
          <w:szCs w:val="28"/>
        </w:rPr>
        <w:t>诱导自噬，提高三阴性乳腺癌的远期预后，并在多中心的真实世界研究中证实槐尔多糖改善乳腺癌预后的临床意义，进一步提高了中药在三阴性乳腺癌领域强化治疗的作用；（5）通过临床大数据研究评估了腋窝淋巴结转移N</w:t>
      </w:r>
      <w:r>
        <w:rPr>
          <w:rFonts w:ascii="宋体" w:hAnsi="宋体" w:eastAsia="宋体"/>
          <w:sz w:val="28"/>
          <w:szCs w:val="28"/>
        </w:rPr>
        <w:t>1</w:t>
      </w:r>
      <w:r>
        <w:rPr>
          <w:rFonts w:hint="eastAsia" w:ascii="宋体" w:hAnsi="宋体" w:eastAsia="宋体"/>
          <w:sz w:val="28"/>
          <w:szCs w:val="28"/>
        </w:rPr>
        <w:t>期患者放疗干预的合理性，提出腋窝淋巴结1枚转移时豁免放疗的可能性；通过真实世界回顾性研究分析了锁骨上淋巴结转移患者手术清扫联合放疗与单纯放疗的预后差异，并分析得出从手术清扫获益的亚组人群，对临床有重要指导意义。</w:t>
      </w:r>
    </w:p>
    <w:p>
      <w:pPr>
        <w:ind w:firstLine="560" w:firstLineChars="200"/>
        <w:rPr>
          <w:rFonts w:ascii="宋体" w:hAnsi="宋体" w:eastAsia="宋体"/>
          <w:sz w:val="28"/>
          <w:szCs w:val="28"/>
        </w:rPr>
      </w:pPr>
      <w:r>
        <w:rPr>
          <w:rFonts w:hint="eastAsia" w:ascii="宋体" w:hAnsi="宋体" w:eastAsia="宋体"/>
          <w:sz w:val="28"/>
          <w:szCs w:val="28"/>
        </w:rPr>
        <w:t>该研究</w:t>
      </w:r>
      <w:r>
        <w:rPr>
          <w:rFonts w:ascii="宋体" w:hAnsi="宋体" w:eastAsia="宋体"/>
          <w:sz w:val="28"/>
          <w:szCs w:val="28"/>
        </w:rPr>
        <w:t>从细胞、动物、组织水平阐明</w:t>
      </w:r>
      <w:r>
        <w:rPr>
          <w:rFonts w:hint="eastAsia" w:ascii="宋体" w:hAnsi="宋体" w:eastAsia="宋体"/>
          <w:sz w:val="28"/>
          <w:szCs w:val="28"/>
        </w:rPr>
        <w:t>系列差异基因影响乳腺癌发生发展</w:t>
      </w:r>
      <w:r>
        <w:rPr>
          <w:rFonts w:ascii="宋体" w:hAnsi="宋体" w:eastAsia="宋体"/>
          <w:sz w:val="28"/>
          <w:szCs w:val="28"/>
        </w:rPr>
        <w:t>的具体分子机理，揭示</w:t>
      </w:r>
      <w:r>
        <w:rPr>
          <w:rFonts w:hint="eastAsia" w:ascii="宋体" w:hAnsi="宋体" w:eastAsia="宋体"/>
          <w:sz w:val="28"/>
          <w:szCs w:val="28"/>
        </w:rPr>
        <w:t>了相关</w:t>
      </w:r>
      <w:r>
        <w:rPr>
          <w:rFonts w:ascii="宋体" w:hAnsi="宋体" w:eastAsia="宋体"/>
          <w:sz w:val="28"/>
          <w:szCs w:val="28"/>
        </w:rPr>
        <w:t>调控方式对乳腺癌细胞侵袭转移的重要性，该</w:t>
      </w:r>
      <w:r>
        <w:rPr>
          <w:rFonts w:hint="eastAsia" w:ascii="宋体" w:hAnsi="宋体" w:eastAsia="宋体"/>
          <w:sz w:val="28"/>
          <w:szCs w:val="28"/>
        </w:rPr>
        <w:t>研究结果</w:t>
      </w:r>
      <w:r>
        <w:rPr>
          <w:rFonts w:ascii="宋体" w:hAnsi="宋体" w:eastAsia="宋体"/>
          <w:sz w:val="28"/>
          <w:szCs w:val="28"/>
        </w:rPr>
        <w:t>的确立和相关机制的阐明，为探索以该通路为靶标阻断乳腺癌细胞</w:t>
      </w:r>
      <w:r>
        <w:rPr>
          <w:rFonts w:hint="eastAsia" w:ascii="宋体" w:hAnsi="宋体" w:eastAsia="宋体"/>
          <w:sz w:val="28"/>
          <w:szCs w:val="28"/>
        </w:rPr>
        <w:t>侵袭转移</w:t>
      </w:r>
      <w:r>
        <w:rPr>
          <w:rFonts w:ascii="宋体" w:hAnsi="宋体" w:eastAsia="宋体"/>
          <w:sz w:val="28"/>
          <w:szCs w:val="28"/>
        </w:rPr>
        <w:t>的新措施（乃至防治乳腺癌</w:t>
      </w:r>
      <w:r>
        <w:rPr>
          <w:rFonts w:hint="eastAsia" w:ascii="宋体" w:hAnsi="宋体" w:eastAsia="宋体"/>
          <w:sz w:val="28"/>
          <w:szCs w:val="28"/>
        </w:rPr>
        <w:t>发生</w:t>
      </w:r>
      <w:r>
        <w:rPr>
          <w:rFonts w:ascii="宋体" w:hAnsi="宋体" w:eastAsia="宋体"/>
          <w:sz w:val="28"/>
          <w:szCs w:val="28"/>
        </w:rPr>
        <w:t>的新策略）提供了重要科学依据。</w:t>
      </w: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主要知识产权和标准规范</w:t>
      </w:r>
    </w:p>
    <w:tbl>
      <w:tblPr>
        <w:tblStyle w:val="5"/>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知识产权</w:t>
            </w:r>
            <w:r>
              <w:rPr>
                <w:rFonts w:hint="eastAsia" w:ascii="宋体" w:hAnsi="宋体"/>
                <w:color w:val="000000"/>
                <w:szCs w:val="24"/>
                <w:lang w:val="en-US" w:eastAsia="zh-CN"/>
              </w:rPr>
              <w:t>（标准）</w:t>
            </w:r>
            <w:r>
              <w:rPr>
                <w:rFonts w:ascii="宋体" w:hAnsi="宋体"/>
                <w:color w:val="000000"/>
                <w:szCs w:val="24"/>
                <w:lang w:val="en-US" w:eastAsia="zh-CN"/>
              </w:rPr>
              <w:t>类别</w:t>
            </w:r>
          </w:p>
        </w:tc>
        <w:tc>
          <w:tcPr>
            <w:tcW w:w="1260" w:type="dxa"/>
            <w:vAlign w:val="center"/>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知识产权（标准）具体</w:t>
            </w:r>
            <w:r>
              <w:rPr>
                <w:rFonts w:ascii="宋体" w:hAnsi="宋体"/>
                <w:color w:val="000000"/>
                <w:szCs w:val="24"/>
                <w:lang w:val="en-US" w:eastAsia="zh-CN"/>
              </w:rPr>
              <w:t>名称</w:t>
            </w:r>
          </w:p>
        </w:tc>
        <w:tc>
          <w:tcPr>
            <w:tcW w:w="1022" w:type="dxa"/>
            <w:vAlign w:val="center"/>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国</w:t>
            </w:r>
            <w:r>
              <w:rPr>
                <w:rFonts w:hint="eastAsia" w:ascii="宋体" w:hAnsi="宋体"/>
                <w:color w:val="000000"/>
                <w:szCs w:val="24"/>
                <w:lang w:val="en-US" w:eastAsia="zh-CN"/>
              </w:rPr>
              <w:t>家</w:t>
            </w:r>
          </w:p>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w:t>
            </w:r>
            <w:r>
              <w:rPr>
                <w:rFonts w:hint="eastAsia" w:ascii="宋体" w:hAnsi="宋体"/>
                <w:color w:val="000000"/>
                <w:szCs w:val="24"/>
                <w:lang w:val="en-US" w:eastAsia="zh-CN"/>
              </w:rPr>
              <w:t>地</w:t>
            </w:r>
            <w:r>
              <w:rPr>
                <w:rFonts w:ascii="宋体" w:hAnsi="宋体"/>
                <w:color w:val="000000"/>
                <w:szCs w:val="24"/>
                <w:lang w:val="en-US" w:eastAsia="zh-CN"/>
              </w:rPr>
              <w:t>区）</w:t>
            </w:r>
          </w:p>
        </w:tc>
        <w:tc>
          <w:tcPr>
            <w:tcW w:w="849" w:type="dxa"/>
            <w:vAlign w:val="center"/>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授权号（标准编号）</w:t>
            </w:r>
          </w:p>
        </w:tc>
        <w:tc>
          <w:tcPr>
            <w:tcW w:w="992" w:type="dxa"/>
            <w:vAlign w:val="center"/>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授权（标准发布）日期</w:t>
            </w:r>
          </w:p>
        </w:tc>
        <w:tc>
          <w:tcPr>
            <w:tcW w:w="1134" w:type="dxa"/>
            <w:vAlign w:val="center"/>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证书编号</w:t>
            </w:r>
            <w:r>
              <w:rPr>
                <w:rFonts w:ascii="宋体" w:hAnsi="宋体"/>
                <w:color w:val="000000"/>
                <w:szCs w:val="24"/>
                <w:lang w:val="en-US" w:eastAsia="zh-CN"/>
              </w:rPr>
              <w:br w:type="textWrapping"/>
            </w:r>
            <w:r>
              <w:rPr>
                <w:rFonts w:hint="eastAsia" w:ascii="宋体" w:hAnsi="宋体"/>
                <w:color w:val="000000"/>
                <w:szCs w:val="24"/>
                <w:lang w:val="en-US" w:eastAsia="zh-CN"/>
              </w:rPr>
              <w:t>（标准批准发布</w:t>
            </w:r>
            <w:r>
              <w:rPr>
                <w:rFonts w:ascii="宋体" w:hAnsi="宋体"/>
                <w:color w:val="000000"/>
                <w:szCs w:val="24"/>
                <w:lang w:val="en-US" w:eastAsia="zh-CN"/>
              </w:rPr>
              <w:t>部门</w:t>
            </w:r>
            <w:r>
              <w:rPr>
                <w:rFonts w:hint="eastAsia" w:ascii="宋体" w:hAnsi="宋体"/>
                <w:color w:val="000000"/>
                <w:szCs w:val="24"/>
                <w:lang w:val="en-US" w:eastAsia="zh-CN"/>
              </w:rPr>
              <w:t>）</w:t>
            </w:r>
          </w:p>
        </w:tc>
        <w:tc>
          <w:tcPr>
            <w:tcW w:w="850" w:type="dxa"/>
            <w:vAlign w:val="center"/>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权利人（标准起草单位）</w:t>
            </w:r>
          </w:p>
        </w:tc>
        <w:tc>
          <w:tcPr>
            <w:tcW w:w="851" w:type="dxa"/>
            <w:vAlign w:val="center"/>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发明人（标准起草人）</w:t>
            </w:r>
          </w:p>
        </w:tc>
        <w:tc>
          <w:tcPr>
            <w:tcW w:w="1183" w:type="dxa"/>
            <w:vAlign w:val="center"/>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国家发明专利</w:t>
            </w:r>
          </w:p>
        </w:tc>
        <w:tc>
          <w:tcPr>
            <w:tcW w:w="1260"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乳腺B超检查系统及检查方法</w:t>
            </w:r>
          </w:p>
        </w:tc>
        <w:tc>
          <w:tcPr>
            <w:tcW w:w="102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中国</w:t>
            </w:r>
          </w:p>
        </w:tc>
        <w:tc>
          <w:tcPr>
            <w:tcW w:w="849"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C</w:t>
            </w:r>
            <w:r>
              <w:rPr>
                <w:rFonts w:ascii="宋体" w:hAnsi="宋体"/>
                <w:color w:val="000000"/>
                <w:szCs w:val="24"/>
                <w:lang w:val="en-US" w:eastAsia="zh-CN"/>
              </w:rPr>
              <w:t>N108652673A</w:t>
            </w:r>
          </w:p>
        </w:tc>
        <w:tc>
          <w:tcPr>
            <w:tcW w:w="99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2</w:t>
            </w:r>
            <w:r>
              <w:rPr>
                <w:rFonts w:ascii="宋体" w:hAnsi="宋体"/>
                <w:color w:val="000000"/>
                <w:szCs w:val="24"/>
                <w:lang w:val="en-US" w:eastAsia="zh-CN"/>
              </w:rPr>
              <w:t>018.10-16</w:t>
            </w:r>
          </w:p>
        </w:tc>
        <w:tc>
          <w:tcPr>
            <w:tcW w:w="1134"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C</w:t>
            </w:r>
            <w:r>
              <w:rPr>
                <w:rFonts w:ascii="宋体" w:hAnsi="宋体"/>
                <w:color w:val="000000"/>
                <w:szCs w:val="24"/>
                <w:lang w:val="en-US" w:eastAsia="zh-CN"/>
              </w:rPr>
              <w:t>N201810289667.6</w:t>
            </w:r>
          </w:p>
        </w:tc>
        <w:tc>
          <w:tcPr>
            <w:tcW w:w="850"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侯令密；谢少利</w:t>
            </w:r>
          </w:p>
        </w:tc>
        <w:tc>
          <w:tcPr>
            <w:tcW w:w="851"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侯令密；谢少利；莫琳龙；弋倩；刘家友；李金穗；王东生；邓世山</w:t>
            </w:r>
          </w:p>
        </w:tc>
        <w:tc>
          <w:tcPr>
            <w:tcW w:w="1183"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发明公开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国家实用新型专利</w:t>
            </w:r>
          </w:p>
        </w:tc>
        <w:tc>
          <w:tcPr>
            <w:tcW w:w="1260"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一种乳头内陷矫正器</w:t>
            </w:r>
          </w:p>
        </w:tc>
        <w:tc>
          <w:tcPr>
            <w:tcW w:w="102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中国</w:t>
            </w:r>
          </w:p>
        </w:tc>
        <w:tc>
          <w:tcPr>
            <w:tcW w:w="849"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CN205094730U</w:t>
            </w:r>
          </w:p>
        </w:tc>
        <w:tc>
          <w:tcPr>
            <w:tcW w:w="99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2</w:t>
            </w:r>
            <w:r>
              <w:rPr>
                <w:rFonts w:ascii="宋体" w:hAnsi="宋体"/>
                <w:color w:val="000000"/>
                <w:szCs w:val="24"/>
                <w:lang w:val="en-US" w:eastAsia="zh-CN"/>
              </w:rPr>
              <w:t>015.10.26</w:t>
            </w:r>
          </w:p>
        </w:tc>
        <w:tc>
          <w:tcPr>
            <w:tcW w:w="1134"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CN201520828235.X</w:t>
            </w:r>
          </w:p>
        </w:tc>
        <w:tc>
          <w:tcPr>
            <w:tcW w:w="850"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侯令密；赵小波</w:t>
            </w:r>
          </w:p>
        </w:tc>
        <w:tc>
          <w:tcPr>
            <w:tcW w:w="851"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侯令密；赵小波；幸天勇；高砚春；谢少利</w:t>
            </w:r>
          </w:p>
        </w:tc>
        <w:tc>
          <w:tcPr>
            <w:tcW w:w="1183"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发明公开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国家实用新型专利</w:t>
            </w:r>
          </w:p>
        </w:tc>
        <w:tc>
          <w:tcPr>
            <w:tcW w:w="1260"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一种带样本盒的乳腺肿瘤取样装置</w:t>
            </w:r>
          </w:p>
        </w:tc>
        <w:tc>
          <w:tcPr>
            <w:tcW w:w="102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中国</w:t>
            </w:r>
          </w:p>
        </w:tc>
        <w:tc>
          <w:tcPr>
            <w:tcW w:w="849"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CN205094730U</w:t>
            </w:r>
          </w:p>
        </w:tc>
        <w:tc>
          <w:tcPr>
            <w:tcW w:w="99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2</w:t>
            </w:r>
            <w:r>
              <w:rPr>
                <w:rFonts w:ascii="宋体" w:hAnsi="宋体"/>
                <w:color w:val="000000"/>
                <w:szCs w:val="24"/>
                <w:lang w:val="en-US" w:eastAsia="zh-CN"/>
              </w:rPr>
              <w:t>017.05.15</w:t>
            </w:r>
          </w:p>
        </w:tc>
        <w:tc>
          <w:tcPr>
            <w:tcW w:w="1134"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CN201720547188.0</w:t>
            </w:r>
          </w:p>
        </w:tc>
        <w:tc>
          <w:tcPr>
            <w:tcW w:w="850"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侯令密；张丽娜</w:t>
            </w:r>
          </w:p>
        </w:tc>
        <w:tc>
          <w:tcPr>
            <w:tcW w:w="851"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侯令密；张丽娜；赵小波；高砚春；熊斌；李金穗</w:t>
            </w:r>
          </w:p>
        </w:tc>
        <w:tc>
          <w:tcPr>
            <w:tcW w:w="1183"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发明公开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国家实用新型专利</w:t>
            </w:r>
          </w:p>
        </w:tc>
        <w:tc>
          <w:tcPr>
            <w:tcW w:w="1260"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一种新型普外科乳腺敷袋</w:t>
            </w:r>
          </w:p>
        </w:tc>
        <w:tc>
          <w:tcPr>
            <w:tcW w:w="102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中国</w:t>
            </w:r>
          </w:p>
        </w:tc>
        <w:tc>
          <w:tcPr>
            <w:tcW w:w="849"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C</w:t>
            </w:r>
            <w:r>
              <w:rPr>
                <w:rFonts w:ascii="宋体" w:hAnsi="宋体"/>
                <w:color w:val="000000"/>
                <w:szCs w:val="24"/>
                <w:lang w:val="en-US" w:eastAsia="zh-CN"/>
              </w:rPr>
              <w:t>N210170664U</w:t>
            </w:r>
          </w:p>
        </w:tc>
        <w:tc>
          <w:tcPr>
            <w:tcW w:w="99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2</w:t>
            </w:r>
            <w:r>
              <w:rPr>
                <w:rFonts w:ascii="宋体" w:hAnsi="宋体"/>
                <w:color w:val="000000"/>
                <w:szCs w:val="24"/>
                <w:lang w:val="en-US" w:eastAsia="zh-CN"/>
              </w:rPr>
              <w:t>020.03.24</w:t>
            </w:r>
          </w:p>
        </w:tc>
        <w:tc>
          <w:tcPr>
            <w:tcW w:w="1134"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C</w:t>
            </w:r>
            <w:r>
              <w:rPr>
                <w:rFonts w:ascii="宋体" w:hAnsi="宋体"/>
                <w:color w:val="000000"/>
                <w:szCs w:val="24"/>
                <w:lang w:val="en-US" w:eastAsia="zh-CN"/>
              </w:rPr>
              <w:t>N201920039398.8</w:t>
            </w:r>
          </w:p>
        </w:tc>
        <w:tc>
          <w:tcPr>
            <w:tcW w:w="850"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赵小波;侯令密</w:t>
            </w:r>
          </w:p>
        </w:tc>
        <w:tc>
          <w:tcPr>
            <w:tcW w:w="851"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赵小波;侯令密;林帅;谢少利;高砚春;幸天勇</w:t>
            </w:r>
          </w:p>
        </w:tc>
        <w:tc>
          <w:tcPr>
            <w:tcW w:w="1183" w:type="dxa"/>
          </w:tcPr>
          <w:p>
            <w:pPr>
              <w:pStyle w:val="2"/>
              <w:spacing w:line="390" w:lineRule="exact"/>
              <w:ind w:firstLine="0" w:firstLineChars="0"/>
              <w:rPr>
                <w:rFonts w:ascii="宋体" w:hAnsi="宋体"/>
                <w:color w:val="000000"/>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国家实用新型专利</w:t>
            </w:r>
          </w:p>
        </w:tc>
        <w:tc>
          <w:tcPr>
            <w:tcW w:w="1260"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新型尿杯</w:t>
            </w:r>
          </w:p>
        </w:tc>
        <w:tc>
          <w:tcPr>
            <w:tcW w:w="1022"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中国</w:t>
            </w:r>
          </w:p>
        </w:tc>
        <w:tc>
          <w:tcPr>
            <w:tcW w:w="849"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CN204556329U</w:t>
            </w:r>
          </w:p>
        </w:tc>
        <w:tc>
          <w:tcPr>
            <w:tcW w:w="992"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2015.08</w:t>
            </w:r>
          </w:p>
        </w:tc>
        <w:tc>
          <w:tcPr>
            <w:tcW w:w="1134"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CN201520265316.3</w:t>
            </w:r>
          </w:p>
        </w:tc>
        <w:tc>
          <w:tcPr>
            <w:tcW w:w="850"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王东生；王强</w:t>
            </w:r>
          </w:p>
        </w:tc>
        <w:tc>
          <w:tcPr>
            <w:tcW w:w="851" w:type="dxa"/>
          </w:tcPr>
          <w:p>
            <w:pPr>
              <w:pStyle w:val="2"/>
              <w:spacing w:line="390" w:lineRule="exact"/>
              <w:ind w:firstLine="0" w:firstLineChars="0"/>
              <w:rPr>
                <w:rFonts w:ascii="宋体" w:hAnsi="宋体"/>
                <w:color w:val="000000"/>
                <w:szCs w:val="24"/>
                <w:lang w:val="en-US" w:eastAsia="zh-CN"/>
              </w:rPr>
            </w:pPr>
            <w:r>
              <w:rPr>
                <w:rFonts w:ascii="宋体" w:hAnsi="宋体"/>
                <w:color w:val="000000"/>
                <w:szCs w:val="24"/>
                <w:lang w:val="en-US" w:eastAsia="zh-CN"/>
              </w:rPr>
              <w:t>王东生；王强；侯令密；郭晓兰；唐中</w:t>
            </w:r>
          </w:p>
        </w:tc>
        <w:tc>
          <w:tcPr>
            <w:tcW w:w="1183" w:type="dxa"/>
          </w:tcPr>
          <w:p>
            <w:pPr>
              <w:pStyle w:val="2"/>
              <w:spacing w:line="390" w:lineRule="exact"/>
              <w:ind w:firstLine="0" w:firstLineChars="0"/>
              <w:rPr>
                <w:rFonts w:ascii="宋体" w:hAnsi="宋体"/>
                <w:color w:val="000000"/>
                <w:szCs w:val="24"/>
                <w:lang w:val="en-US" w:eastAsia="zh-CN"/>
              </w:rPr>
            </w:pPr>
            <w:r>
              <w:rPr>
                <w:rFonts w:hint="eastAsia" w:ascii="宋体" w:hAnsi="宋体"/>
                <w:color w:val="000000"/>
                <w:szCs w:val="24"/>
                <w:lang w:val="en-US" w:eastAsia="zh-CN"/>
              </w:rPr>
              <w:t>发明公开</w:t>
            </w:r>
          </w:p>
        </w:tc>
      </w:tr>
    </w:tbl>
    <w:p>
      <w:pPr>
        <w:rPr>
          <w:rFonts w:ascii="黑体" w:hAnsi="黑体" w:eastAsia="黑体" w:cs="黑体"/>
          <w:b/>
          <w:bCs/>
          <w:sz w:val="32"/>
          <w:szCs w:val="32"/>
        </w:rPr>
      </w:pP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代表性论文</w:t>
      </w:r>
    </w:p>
    <w:tbl>
      <w:tblPr>
        <w:tblStyle w:val="6"/>
        <w:tblW w:w="10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3864"/>
        <w:gridCol w:w="1476"/>
        <w:gridCol w:w="2209"/>
        <w:gridCol w:w="756"/>
        <w:gridCol w:w="531"/>
        <w:gridCol w:w="430"/>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序号</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论文名称</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刊名</w:t>
            </w:r>
          </w:p>
        </w:tc>
        <w:tc>
          <w:tcPr>
            <w:tcW w:w="2209"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年,卷(期)及页码</w:t>
            </w:r>
          </w:p>
        </w:tc>
        <w:tc>
          <w:tcPr>
            <w:tcW w:w="75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影响</w:t>
            </w:r>
          </w:p>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因子</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SCI</w:t>
            </w:r>
          </w:p>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他引次数</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他引总次数</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w:t>
            </w:r>
          </w:p>
        </w:tc>
        <w:tc>
          <w:tcPr>
            <w:tcW w:w="3864" w:type="dxa"/>
            <w:vAlign w:val="center"/>
          </w:tcPr>
          <w:p>
            <w:pPr>
              <w:widowControl/>
              <w:rPr>
                <w:rFonts w:ascii="Times New Roman" w:hAnsi="Times New Roman" w:cs="Times New Roman" w:eastAsiaTheme="minorEastAsia"/>
                <w:bCs/>
                <w:color w:val="000000"/>
                <w:kern w:val="0"/>
                <w:szCs w:val="21"/>
              </w:rPr>
            </w:pPr>
            <w:r>
              <w:rPr>
                <w:rFonts w:ascii="Times New Roman" w:hAnsi="Times New Roman" w:cs="Times New Roman" w:eastAsiaTheme="minorEastAsia"/>
                <w:bCs/>
                <w:color w:val="000000"/>
                <w:kern w:val="0"/>
                <w:szCs w:val="21"/>
              </w:rPr>
              <w:t>Overexpression of annexin A2 is associated with abnormal ubiquitination in breast cancer</w:t>
            </w:r>
          </w:p>
        </w:tc>
        <w:tc>
          <w:tcPr>
            <w:tcW w:w="1476" w:type="dxa"/>
            <w:vAlign w:val="center"/>
          </w:tcPr>
          <w:p>
            <w:pPr>
              <w:pStyle w:val="2"/>
              <w:spacing w:line="320" w:lineRule="exact"/>
              <w:ind w:firstLine="0" w:firstLineChars="0"/>
              <w:rPr>
                <w:rFonts w:ascii="Times New Roman" w:eastAsiaTheme="minorEastAsia"/>
                <w:bCs/>
                <w:color w:val="000000"/>
                <w:kern w:val="0"/>
                <w:sz w:val="21"/>
                <w:szCs w:val="21"/>
                <w:lang w:val="en-US" w:eastAsia="zh-CN"/>
              </w:rPr>
            </w:pPr>
            <w:r>
              <w:rPr>
                <w:rFonts w:ascii="Times New Roman" w:eastAsiaTheme="minorEastAsia"/>
                <w:bCs/>
                <w:color w:val="000000"/>
                <w:kern w:val="0"/>
                <w:sz w:val="21"/>
                <w:szCs w:val="21"/>
                <w:lang w:val="en-US" w:eastAsia="zh-CN"/>
              </w:rPr>
              <w:t>Genomics Proteomics Bioinformatics</w:t>
            </w:r>
          </w:p>
        </w:tc>
        <w:tc>
          <w:tcPr>
            <w:tcW w:w="2209" w:type="dxa"/>
            <w:vAlign w:val="center"/>
          </w:tcPr>
          <w:p>
            <w:pPr>
              <w:pStyle w:val="2"/>
              <w:spacing w:line="320" w:lineRule="exact"/>
              <w:ind w:firstLine="0" w:firstLineChars="0"/>
              <w:rPr>
                <w:rFonts w:ascii="Times New Roman" w:eastAsiaTheme="minorEastAsia"/>
                <w:bCs/>
                <w:color w:val="000000"/>
                <w:kern w:val="0"/>
                <w:sz w:val="21"/>
                <w:szCs w:val="21"/>
                <w:lang w:val="en-US" w:eastAsia="zh-CN"/>
              </w:rPr>
            </w:pPr>
            <w:r>
              <w:rPr>
                <w:rFonts w:ascii="Times New Roman" w:eastAsiaTheme="minorEastAsia"/>
                <w:bCs/>
                <w:color w:val="000000"/>
                <w:kern w:val="0"/>
                <w:sz w:val="21"/>
                <w:szCs w:val="21"/>
                <w:lang w:val="en-US" w:eastAsia="zh-CN"/>
              </w:rPr>
              <w:t>2012 Jun;10(3):153-7</w:t>
            </w:r>
          </w:p>
        </w:tc>
        <w:tc>
          <w:tcPr>
            <w:tcW w:w="756" w:type="dxa"/>
            <w:vAlign w:val="center"/>
          </w:tcPr>
          <w:p>
            <w:pPr>
              <w:pStyle w:val="2"/>
              <w:spacing w:line="320" w:lineRule="exact"/>
              <w:ind w:firstLine="0" w:firstLineChars="0"/>
              <w:rPr>
                <w:rFonts w:ascii="Times New Roman" w:eastAsiaTheme="minorEastAsia"/>
                <w:bCs/>
                <w:color w:val="000000"/>
                <w:kern w:val="0"/>
                <w:sz w:val="21"/>
                <w:szCs w:val="21"/>
                <w:lang w:val="en-US" w:eastAsia="zh-CN"/>
              </w:rPr>
            </w:pPr>
            <w:r>
              <w:rPr>
                <w:rFonts w:ascii="Times New Roman" w:eastAsiaTheme="minorEastAsia"/>
                <w:bCs/>
                <w:color w:val="000000"/>
                <w:kern w:val="0"/>
                <w:sz w:val="21"/>
                <w:szCs w:val="21"/>
                <w:lang w:val="en-US" w:eastAsia="zh-CN"/>
              </w:rPr>
              <w:t>7.051</w:t>
            </w:r>
          </w:p>
        </w:tc>
        <w:tc>
          <w:tcPr>
            <w:tcW w:w="531" w:type="dxa"/>
            <w:vAlign w:val="center"/>
          </w:tcPr>
          <w:p>
            <w:pPr>
              <w:pStyle w:val="2"/>
              <w:spacing w:line="320" w:lineRule="exact"/>
              <w:ind w:firstLine="0" w:firstLineChars="0"/>
              <w:rPr>
                <w:rFonts w:cs="宋体" w:asciiTheme="minorEastAsia" w:hAnsiTheme="minorEastAsia" w:eastAsiaTheme="minorEastAsia"/>
                <w:bCs/>
                <w:color w:val="000000"/>
                <w:kern w:val="0"/>
                <w:sz w:val="21"/>
                <w:szCs w:val="21"/>
                <w:lang w:val="en-US" w:eastAsia="zh-CN"/>
              </w:rPr>
            </w:pPr>
            <w:r>
              <w:rPr>
                <w:rFonts w:hint="eastAsia" w:cs="宋体" w:asciiTheme="minorEastAsia" w:hAnsiTheme="minorEastAsia" w:eastAsiaTheme="minorEastAsia"/>
                <w:bCs/>
                <w:color w:val="000000"/>
                <w:kern w:val="0"/>
                <w:sz w:val="21"/>
                <w:szCs w:val="21"/>
                <w:lang w:val="en-US" w:eastAsia="zh-CN"/>
              </w:rPr>
              <w:t>2</w:t>
            </w:r>
            <w:r>
              <w:rPr>
                <w:rFonts w:cs="宋体" w:asciiTheme="minorEastAsia" w:hAnsiTheme="minorEastAsia" w:eastAsiaTheme="minorEastAsia"/>
                <w:bCs/>
                <w:color w:val="000000"/>
                <w:kern w:val="0"/>
                <w:sz w:val="21"/>
                <w:szCs w:val="21"/>
                <w:lang w:val="en-US" w:eastAsia="zh-CN"/>
              </w:rPr>
              <w:t>0</w:t>
            </w:r>
          </w:p>
        </w:tc>
        <w:tc>
          <w:tcPr>
            <w:tcW w:w="430" w:type="dxa"/>
            <w:vAlign w:val="center"/>
          </w:tcPr>
          <w:p>
            <w:pPr>
              <w:pStyle w:val="2"/>
              <w:spacing w:line="320" w:lineRule="exact"/>
              <w:ind w:firstLine="0" w:firstLineChars="0"/>
              <w:rPr>
                <w:rFonts w:cs="宋体" w:asciiTheme="minorEastAsia" w:hAnsiTheme="minorEastAsia" w:eastAsiaTheme="minorEastAsia"/>
                <w:bCs/>
                <w:color w:val="000000"/>
                <w:kern w:val="0"/>
                <w:sz w:val="21"/>
                <w:szCs w:val="21"/>
                <w:lang w:val="en-US" w:eastAsia="zh-CN"/>
              </w:rPr>
            </w:pPr>
            <w:r>
              <w:rPr>
                <w:rFonts w:hint="eastAsia" w:cs="宋体" w:asciiTheme="minorEastAsia" w:hAnsiTheme="minorEastAsia" w:eastAsiaTheme="minorEastAsia"/>
                <w:bCs/>
                <w:color w:val="000000"/>
                <w:kern w:val="0"/>
                <w:sz w:val="21"/>
                <w:szCs w:val="21"/>
                <w:lang w:val="en-US" w:eastAsia="zh-CN"/>
              </w:rPr>
              <w:t>28</w:t>
            </w:r>
          </w:p>
        </w:tc>
        <w:tc>
          <w:tcPr>
            <w:tcW w:w="426" w:type="dxa"/>
          </w:tcPr>
          <w:p>
            <w:pPr>
              <w:pStyle w:val="2"/>
              <w:spacing w:line="320" w:lineRule="exact"/>
              <w:ind w:firstLine="0" w:firstLineChars="0"/>
              <w:rPr>
                <w:rFonts w:cs="宋体" w:asciiTheme="minorEastAsia" w:hAnsiTheme="minorEastAsia" w:eastAsiaTheme="minorEastAsia"/>
                <w:bCs/>
                <w:color w:val="000000"/>
                <w:kern w:val="0"/>
                <w:sz w:val="21"/>
                <w:szCs w:val="21"/>
                <w:lang w:val="en-US" w:eastAsia="zh-CN"/>
              </w:rPr>
            </w:pPr>
            <w:r>
              <w:rPr>
                <w:rFonts w:hint="eastAsia" w:cs="宋体" w:asciiTheme="minorEastAsia" w:hAnsiTheme="minorEastAsia" w:eastAsiaTheme="minorEastAsia"/>
                <w:bCs/>
                <w:color w:val="000000"/>
                <w:kern w:val="0"/>
                <w:sz w:val="21"/>
                <w:szCs w:val="21"/>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widowControl/>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2</w:t>
            </w:r>
          </w:p>
        </w:tc>
        <w:tc>
          <w:tcPr>
            <w:tcW w:w="3864" w:type="dxa"/>
            <w:vAlign w:val="center"/>
          </w:tcPr>
          <w:p>
            <w:pPr>
              <w:widowControl/>
              <w:rPr>
                <w:rFonts w:ascii="Times New Roman" w:hAnsi="Times New Roman" w:cs="Times New Roman" w:eastAsiaTheme="minorEastAsia"/>
                <w:bCs/>
                <w:color w:val="000000"/>
                <w:kern w:val="0"/>
                <w:szCs w:val="21"/>
              </w:rPr>
            </w:pPr>
            <w:r>
              <w:rPr>
                <w:rFonts w:ascii="Times New Roman" w:hAnsi="Times New Roman" w:cs="Times New Roman" w:eastAsiaTheme="minorEastAsia"/>
                <w:bCs/>
                <w:color w:val="000000"/>
                <w:kern w:val="0"/>
                <w:szCs w:val="21"/>
              </w:rPr>
              <w:t>Post-mastectomy Radiotherapy in T1-2 Breast Cancer Patients With One to Three Lymph Node Metastases: A Propensity Score Matching Analysis</w:t>
            </w:r>
          </w:p>
        </w:tc>
        <w:tc>
          <w:tcPr>
            <w:tcW w:w="1476" w:type="dxa"/>
            <w:vAlign w:val="center"/>
          </w:tcPr>
          <w:p>
            <w:pPr>
              <w:widowControl/>
              <w:rPr>
                <w:rFonts w:ascii="Times New Roman" w:hAnsi="Times New Roman" w:cs="Times New Roman" w:eastAsiaTheme="minorEastAsia"/>
                <w:bCs/>
                <w:color w:val="000000"/>
                <w:kern w:val="0"/>
                <w:szCs w:val="21"/>
              </w:rPr>
            </w:pPr>
            <w:r>
              <w:rPr>
                <w:rFonts w:ascii="Times New Roman" w:hAnsi="Times New Roman" w:cs="Times New Roman" w:eastAsiaTheme="minorEastAsia"/>
                <w:bCs/>
                <w:color w:val="000000"/>
                <w:kern w:val="0"/>
                <w:szCs w:val="21"/>
              </w:rPr>
              <w:t>Front Oncol</w:t>
            </w:r>
          </w:p>
        </w:tc>
        <w:tc>
          <w:tcPr>
            <w:tcW w:w="2209" w:type="dxa"/>
            <w:vAlign w:val="center"/>
          </w:tcPr>
          <w:p>
            <w:pPr>
              <w:widowControl/>
              <w:rPr>
                <w:rFonts w:ascii="Times New Roman" w:hAnsi="Times New Roman" w:cs="Times New Roman" w:eastAsiaTheme="minorEastAsia"/>
                <w:bCs/>
                <w:color w:val="000000"/>
                <w:kern w:val="0"/>
                <w:szCs w:val="21"/>
              </w:rPr>
            </w:pPr>
            <w:r>
              <w:rPr>
                <w:rFonts w:ascii="Times New Roman" w:hAnsi="Times New Roman" w:cs="Times New Roman" w:eastAsiaTheme="minorEastAsia"/>
                <w:bCs/>
                <w:color w:val="000000"/>
                <w:kern w:val="0"/>
                <w:szCs w:val="21"/>
              </w:rPr>
              <w:t>2020 Feb 14;9:1551</w:t>
            </w:r>
          </w:p>
        </w:tc>
        <w:tc>
          <w:tcPr>
            <w:tcW w:w="756" w:type="dxa"/>
            <w:vAlign w:val="center"/>
          </w:tcPr>
          <w:p>
            <w:pPr>
              <w:widowControl/>
              <w:rPr>
                <w:rFonts w:ascii="Times New Roman" w:hAnsi="Times New Roman" w:cs="Times New Roman" w:eastAsiaTheme="minorEastAsia"/>
                <w:bCs/>
                <w:color w:val="000000"/>
                <w:kern w:val="0"/>
                <w:szCs w:val="21"/>
              </w:rPr>
            </w:pPr>
            <w:r>
              <w:rPr>
                <w:rFonts w:ascii="Times New Roman" w:hAnsi="Times New Roman" w:cs="Times New Roman" w:eastAsiaTheme="minorEastAsia"/>
                <w:bCs/>
                <w:color w:val="000000"/>
                <w:kern w:val="0"/>
                <w:szCs w:val="21"/>
              </w:rPr>
              <w:t>4.848</w:t>
            </w:r>
          </w:p>
        </w:tc>
        <w:tc>
          <w:tcPr>
            <w:tcW w:w="531" w:type="dxa"/>
            <w:vAlign w:val="center"/>
          </w:tcPr>
          <w:p>
            <w:pPr>
              <w:widowControl/>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0</w:t>
            </w:r>
          </w:p>
        </w:tc>
        <w:tc>
          <w:tcPr>
            <w:tcW w:w="430" w:type="dxa"/>
            <w:vAlign w:val="center"/>
          </w:tcPr>
          <w:p>
            <w:pPr>
              <w:widowControl/>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0</w:t>
            </w:r>
          </w:p>
        </w:tc>
        <w:tc>
          <w:tcPr>
            <w:tcW w:w="426" w:type="dxa"/>
          </w:tcPr>
          <w:p>
            <w:pPr>
              <w:widowControl/>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3</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shd w:val="clear" w:color="auto" w:fill="FFFFFF"/>
                <w14:textFill>
                  <w14:solidFill>
                    <w14:schemeClr w14:val="tx1"/>
                  </w14:solidFill>
                </w14:textFill>
              </w:rPr>
              <w:t>NAT1 promotes osteolytic metastasis in luminal breast cancer by regulating the bone metastatic niche via NF-κB/IL-1B signaling pathway</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shd w:val="clear" w:color="auto" w:fill="FFFFFF"/>
                <w14:textFill>
                  <w14:solidFill>
                    <w14:schemeClr w14:val="tx1"/>
                  </w14:solidFill>
                </w14:textFill>
              </w:rPr>
              <w:t>Am J Cancer Res</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themeColor="text1"/>
                <w:sz w:val="21"/>
                <w:szCs w:val="21"/>
                <w:shd w:val="clear" w:color="auto" w:fill="FFFFFF"/>
                <w14:textFill>
                  <w14:solidFill>
                    <w14:schemeClr w14:val="tx1"/>
                  </w14:solidFill>
                </w14:textFill>
              </w:rPr>
              <w:t>2020 Aug 1;10(8):2464-2479</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lang w:eastAsia="zh-CN"/>
                <w14:textFill>
                  <w14:solidFill>
                    <w14:schemeClr w14:val="tx1"/>
                  </w14:solidFill>
                </w14:textFill>
              </w:rPr>
            </w:pPr>
            <w:r>
              <w:rPr>
                <w:rFonts w:ascii="Times New Roman" w:eastAsiaTheme="minorEastAsia"/>
                <w:color w:val="000000" w:themeColor="text1"/>
                <w:sz w:val="21"/>
                <w:szCs w:val="21"/>
                <w:lang w:eastAsia="zh-CN"/>
                <w14:textFill>
                  <w14:solidFill>
                    <w14:schemeClr w14:val="tx1"/>
                  </w14:solidFill>
                </w14:textFill>
              </w:rPr>
              <w:t>5.177</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4</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Comparative proteome analysis of breast cancer and adjacent normal breast tissues in human</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Genomics Proteomics Bioinformatics</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2006 Aug;4(3):165-72</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7.051</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48</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asciiTheme="minorEastAsia" w:hAnsiTheme="minorEastAsia" w:eastAsiaTheme="minorEastAsia"/>
                <w:color w:val="000000" w:themeColor="text1"/>
                <w:sz w:val="21"/>
                <w:szCs w:val="21"/>
                <w:lang w:eastAsia="zh-CN"/>
                <w14:textFill>
                  <w14:solidFill>
                    <w14:schemeClr w14:val="tx1"/>
                  </w14:solidFill>
                </w14:textFill>
              </w:rPr>
              <w:t>52</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asciiTheme="minorEastAsia" w:hAnsiTheme="minorEastAsia" w:eastAsiaTheme="minorEastAsia"/>
                <w:color w:val="000000" w:themeColor="text1"/>
                <w:sz w:val="21"/>
                <w:szCs w:val="21"/>
                <w:lang w:eastAsia="zh-CN"/>
                <w14:textFill>
                  <w14:solidFill>
                    <w14:schemeClr w14:val="tx1"/>
                  </w14:solidFill>
                </w14:textFill>
              </w:rPr>
              <w:t>5</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Acquisition of epithelial-mesenchymal transition phenotype in the tamoxifen-resistant breast cancer cell: a new role for G protein-coupled estrogen receptor in mediating tamoxifen resistance through cancer-associated fibroblast-derived fibronectin and β1-integrin signaling pathway in tumor cells</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Breast Cancer Res</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2015 May 21;17(1):69</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lang w:eastAsia="zh-CN"/>
                <w14:textFill>
                  <w14:solidFill>
                    <w14:schemeClr w14:val="tx1"/>
                  </w14:solidFill>
                </w14:textFill>
              </w:rPr>
            </w:pPr>
            <w:r>
              <w:rPr>
                <w:rFonts w:ascii="Times New Roman" w:eastAsiaTheme="minorEastAsia"/>
                <w:color w:val="000000"/>
                <w:kern w:val="0"/>
                <w:sz w:val="21"/>
                <w:szCs w:val="21"/>
              </w:rPr>
              <w:t>4.988</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kern w:val="0"/>
              </w:rPr>
              <w:t xml:space="preserve">58 </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58</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6</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TRAIL-induced miR-146a expression suppresses CXCR4-mediated human breast cancer migration</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FEBS J</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2013 Jul;280(14):3340-53</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4.392</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34</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34</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7</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Neoadjuvant Chemotherapy Creates Surgery Opportunities For Inoperable Locally Advanced Breast Cancer</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Sci Rep</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2017 Mar 22;7:44673</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333333"/>
                <w:kern w:val="0"/>
                <w:sz w:val="21"/>
                <w:szCs w:val="21"/>
              </w:rPr>
              <w:t>3.998</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14</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14</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8</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FAT4 functions as a tumor suppressor in triple-negative breast cancer</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Tumour Biol</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2016 Nov 28</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3.650</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7</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7</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9</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Systematic analyses of key genes and pathways in the development of invasive breast cancer</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Gene</w:t>
            </w:r>
          </w:p>
        </w:tc>
        <w:tc>
          <w:tcPr>
            <w:tcW w:w="2209" w:type="dxa"/>
            <w:vAlign w:val="center"/>
          </w:tcPr>
          <w:p>
            <w:pPr>
              <w:pStyle w:val="2"/>
              <w:spacing w:line="320" w:lineRule="exact"/>
              <w:ind w:firstLine="0" w:firstLineChars="0"/>
              <w:rPr>
                <w:rFonts w:ascii="Times New Roman" w:eastAsiaTheme="minorEastAsia"/>
                <w:color w:val="000000"/>
                <w:sz w:val="21"/>
                <w:szCs w:val="21"/>
                <w:shd w:val="clear" w:color="auto" w:fill="FFFFFF"/>
              </w:rPr>
            </w:pPr>
            <w:r>
              <w:rPr>
                <w:rFonts w:ascii="Times New Roman" w:eastAsiaTheme="minorEastAsia"/>
                <w:color w:val="000000"/>
                <w:sz w:val="21"/>
                <w:szCs w:val="21"/>
                <w:shd w:val="clear" w:color="auto" w:fill="FFFFFF"/>
              </w:rPr>
              <w:t xml:space="preserve">2016 </w:t>
            </w:r>
          </w:p>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Nov 15;593(1):1-12</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2.984</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6</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9</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w:t>
            </w:r>
            <w:r>
              <w:rPr>
                <w:rFonts w:asciiTheme="minorEastAsia" w:hAnsiTheme="minorEastAsia" w:eastAsiaTheme="minorEastAsia"/>
                <w:color w:val="000000" w:themeColor="text1"/>
                <w:sz w:val="21"/>
                <w:szCs w:val="21"/>
                <w:lang w:eastAsia="zh-CN"/>
                <w14:textFill>
                  <w14:solidFill>
                    <w14:schemeClr w14:val="tx1"/>
                  </w14:solidFill>
                </w14:textFill>
              </w:rPr>
              <w:t>0</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IL-6 Triggers the Migration and Invasion of Oestrogen Receptor-Negative Breast Cancer Cells via Regulation of Hippo Pathways</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Basic Clin Pharmacol Toxicol</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2018 Nov;123(5):549-557</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2.651</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4</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5</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11</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A gene expression signature-based nomogram model in prediction of breast cancer bone metastases</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Cancer Med</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2019 Jan;8(1):200-208</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3.491</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9</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12</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12</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Magnetic Resonance Spectroscopy-Detected Change in Marrow Adiposity Is Strongly Correlated to Postmenopausal Breast Cancer Risk</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Clin Breast Cancer</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2017 Jun;17(3):239-244</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2.647</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9</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11</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13</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 </w:t>
            </w:r>
            <w:r>
              <w:rPr>
                <w:rFonts w:ascii="Times New Roman" w:eastAsiaTheme="minorEastAsia"/>
                <w:i/>
                <w:iCs/>
                <w:color w:val="000000"/>
                <w:sz w:val="21"/>
                <w:szCs w:val="21"/>
                <w:shd w:val="clear" w:color="auto" w:fill="FFFFFF"/>
              </w:rPr>
              <w:t>DNAJB4</w:t>
            </w:r>
            <w:r>
              <w:rPr>
                <w:rFonts w:ascii="Times New Roman" w:eastAsiaTheme="minorEastAsia"/>
                <w:color w:val="000000"/>
                <w:sz w:val="21"/>
                <w:szCs w:val="21"/>
                <w:shd w:val="clear" w:color="auto" w:fill="FFFFFF"/>
              </w:rPr>
              <w:t> identified as a potential breast cancer marker: evidence from bioinformatics analysis and basic experiments</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Gland Surg</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2020 Dec;9(6):1955-1972</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2.190</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14</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The PI3K/mTOR dual inhibitor NVP-BEZ235 stimulates mutant p53 degradation to exert anti-tumor effects on triple-negative breast cancer cells</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FEBS Open Bio</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2020 Apr;10(4):535-545</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2.231</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4</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4</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15</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Knockdown of ubiquitin protein ligase E3A affects proliferation and invasion, and induces apoptosis of breast cancer cells through regulation of annexin A2</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Mol Med Rep</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2015 Jul;12(1):1107-13</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2.100</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asciiTheme="minorEastAsia" w:hAnsiTheme="minorEastAsia" w:eastAsiaTheme="minorEastAsia"/>
                <w:color w:val="000000" w:themeColor="text1"/>
                <w:sz w:val="21"/>
                <w:szCs w:val="21"/>
                <w:lang w:eastAsia="zh-CN"/>
                <w14:textFill>
                  <w14:solidFill>
                    <w14:schemeClr w14:val="tx1"/>
                  </w14:solidFill>
                </w14:textFill>
              </w:rPr>
              <w:t>1</w:t>
            </w:r>
            <w:r>
              <w:rPr>
                <w:rFonts w:hint="eastAsia" w:asciiTheme="minorEastAsia" w:hAnsiTheme="minorEastAsia" w:eastAsiaTheme="minorEastAsia"/>
                <w:color w:val="000000" w:themeColor="text1"/>
                <w:sz w:val="21"/>
                <w:szCs w:val="21"/>
                <w:lang w:eastAsia="zh-CN"/>
                <w14:textFill>
                  <w14:solidFill>
                    <w14:schemeClr w14:val="tx1"/>
                  </w14:solidFill>
                </w14:textFill>
              </w:rPr>
              <w:t>7</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16</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A clinical study on the use of Huaier granules in post-surgical treatment of triple-negative breast cancer</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Gland Surg</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2019 Dec;8(6):758-765</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2.190</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7</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7</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17</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MiR-940 Inhibited Cell Growth and Migration in Triple-Negative Breast Cancer</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Med Sci Monit</w:t>
            </w:r>
          </w:p>
        </w:tc>
        <w:tc>
          <w:tcPr>
            <w:tcW w:w="2209" w:type="dxa"/>
            <w:vAlign w:val="center"/>
          </w:tcPr>
          <w:p>
            <w:pPr>
              <w:pStyle w:val="2"/>
              <w:spacing w:line="320" w:lineRule="exact"/>
              <w:ind w:firstLine="0" w:firstLineChars="0"/>
              <w:rPr>
                <w:rFonts w:ascii="Times New Roman" w:eastAsiaTheme="minorEastAsia"/>
                <w:color w:val="000000"/>
                <w:sz w:val="21"/>
                <w:szCs w:val="21"/>
                <w:shd w:val="clear" w:color="auto" w:fill="FFFFFF"/>
              </w:rPr>
            </w:pPr>
            <w:r>
              <w:rPr>
                <w:rFonts w:ascii="Times New Roman" w:eastAsiaTheme="minorEastAsia"/>
                <w:color w:val="000000"/>
                <w:sz w:val="21"/>
                <w:szCs w:val="21"/>
                <w:shd w:val="clear" w:color="auto" w:fill="FFFFFF"/>
              </w:rPr>
              <w:t xml:space="preserve">2016 </w:t>
            </w:r>
          </w:p>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Oct 12;22:3666-3672</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1.918</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28</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28</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18</w:t>
            </w:r>
          </w:p>
        </w:tc>
        <w:tc>
          <w:tcPr>
            <w:tcW w:w="3864"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Tumor derived EDIL3 modulates the expansion and osteoclastogenesis of myeloid derived suppressor cells in murine breast cancer model</w:t>
            </w:r>
          </w:p>
        </w:tc>
        <w:tc>
          <w:tcPr>
            <w:tcW w:w="147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J Bone Oncol</w:t>
            </w:r>
          </w:p>
        </w:tc>
        <w:tc>
          <w:tcPr>
            <w:tcW w:w="2209" w:type="dxa"/>
            <w:vAlign w:val="center"/>
          </w:tcPr>
          <w:p>
            <w:pPr>
              <w:pStyle w:val="2"/>
              <w:spacing w:line="320" w:lineRule="exact"/>
              <w:ind w:firstLine="0" w:firstLineChars="0"/>
              <w:rPr>
                <w:rFonts w:ascii="Times New Roman" w:eastAsiaTheme="minorEastAsia"/>
                <w:color w:val="000000"/>
                <w:sz w:val="21"/>
                <w:szCs w:val="21"/>
                <w:shd w:val="clear" w:color="auto" w:fill="FFFFFF"/>
              </w:rPr>
            </w:pPr>
            <w:r>
              <w:rPr>
                <w:rFonts w:ascii="Times New Roman" w:eastAsiaTheme="minorEastAsia"/>
                <w:color w:val="000000"/>
                <w:sz w:val="21"/>
                <w:szCs w:val="21"/>
                <w:shd w:val="clear" w:color="auto" w:fill="FFFFFF"/>
              </w:rPr>
              <w:t xml:space="preserve">2019 </w:t>
            </w:r>
          </w:p>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shd w:val="clear" w:color="auto" w:fill="FFFFFF"/>
              </w:rPr>
              <w:t>Apr 29;16:100238</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sz w:val="21"/>
                <w:szCs w:val="21"/>
              </w:rPr>
              <w:t>3.066</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19</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FAT4在三阴性乳腺癌组织中的表达及其临床意义</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中国普通外科杂志</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2020,29(5):525-531</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1.841</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20</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下调泛素蛋白连接酶E3A表达对三阴性乳腺癌细胞生物学行为的影响</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中国普通外科杂志</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2018,27(11):1417-1423</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1.841</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21</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泛素蛋白连接酶E3A在乳腺癌细胞中作用的蛋白质组学与生物信息学分析</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中国普通外科杂志</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2019,28(5):590-596</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1.841</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22</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乳腺癌中泛素蛋白连接酶E3A与泛素特异性蛋白酶25的表达及其临床意义</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实用医学杂志</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2020,36(1):27-32</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1.476</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23</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放疗治疗初诊</w:t>
            </w:r>
            <w:r>
              <w:rPr>
                <w:rFonts w:hint="eastAsia" w:cs="宋体" w:asciiTheme="minorEastAsia" w:hAnsiTheme="minorEastAsia" w:eastAsiaTheme="minorEastAsia"/>
                <w:color w:val="000000"/>
                <w:sz w:val="21"/>
                <w:szCs w:val="21"/>
              </w:rPr>
              <w:t>Ⅳ</w:t>
            </w:r>
            <w:r>
              <w:rPr>
                <w:rFonts w:asciiTheme="minorEastAsia" w:hAnsiTheme="minorEastAsia" w:eastAsiaTheme="minorEastAsia"/>
                <w:color w:val="000000"/>
                <w:sz w:val="21"/>
                <w:szCs w:val="21"/>
              </w:rPr>
              <w:t>期全乳切除乳腺癌的价值:一项基于SEER数据库的研究</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实用肿瘤杂志</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2020,35(6):524-529</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1.070</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24</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E6相关蛋白调节膜联蛋白A2的表达对三阴性乳腺癌裸鼠移植瘤的影响</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中华妇幼临床医学杂志（电子版）</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2016,12(3):274-279</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1.044</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3</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25</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E6-AP基因在乳腺癌MDA-MB-231细胞中调节膜联蛋白A2的表达</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中华乳腺病杂志（电子版）</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2016,10(6):326-332</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1.012</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3</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26</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外周血中性粒细胞与淋巴细胞比率和血小板与淋巴细胞比率与乳腺癌新辅助化疗患者预后的关系</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中华乳腺病杂志（电子版）</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2018,12(2):93-99</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1.012</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7</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27</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基于SEER数据库分析男性乳腺癌腋窝淋巴结转移的相关因素</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现代肿瘤医学</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2020,28(1):66-69</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0.930</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28</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E6蛋白、UBE3A和p53蛋白在38例乳腺癌中的表达</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肿瘤学杂志</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2010,16(3):168-170</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0.764</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8</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29</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Delta/Notch样表皮生长因子相关受体在三阴性乳腺癌中的表达及临床意义</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中华乳腺病杂志（电子版）</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2019,13(6):331-335</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1.012</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30</w:t>
            </w:r>
          </w:p>
        </w:tc>
        <w:tc>
          <w:tcPr>
            <w:tcW w:w="3864"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PI3K/AKT/mTOR信号通路介导乳腺癌内分泌治疗耐药的研究进展</w:t>
            </w:r>
          </w:p>
        </w:tc>
        <w:tc>
          <w:tcPr>
            <w:tcW w:w="1476" w:type="dxa"/>
            <w:vAlign w:val="center"/>
          </w:tcPr>
          <w:p>
            <w:pPr>
              <w:pStyle w:val="2"/>
              <w:spacing w:line="320" w:lineRule="exact"/>
              <w:ind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sz w:val="21"/>
                <w:szCs w:val="21"/>
              </w:rPr>
              <w:t>癌症进展</w:t>
            </w:r>
          </w:p>
        </w:tc>
        <w:tc>
          <w:tcPr>
            <w:tcW w:w="2209"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sz w:val="21"/>
                <w:szCs w:val="21"/>
              </w:rPr>
              <w:t>2017,15(10):1127-1130</w:t>
            </w:r>
          </w:p>
        </w:tc>
        <w:tc>
          <w:tcPr>
            <w:tcW w:w="756" w:type="dxa"/>
            <w:vAlign w:val="center"/>
          </w:tcPr>
          <w:p>
            <w:pPr>
              <w:pStyle w:val="2"/>
              <w:spacing w:line="320" w:lineRule="exact"/>
              <w:ind w:firstLine="0" w:firstLineChars="0"/>
              <w:rPr>
                <w:rFonts w:ascii="Times New Roman" w:eastAsiaTheme="minorEastAsia"/>
                <w:color w:val="000000" w:themeColor="text1"/>
                <w:sz w:val="21"/>
                <w:szCs w:val="21"/>
                <w14:textFill>
                  <w14:solidFill>
                    <w14:schemeClr w14:val="tx1"/>
                  </w14:solidFill>
                </w14:textFill>
              </w:rPr>
            </w:pPr>
            <w:r>
              <w:rPr>
                <w:rFonts w:ascii="Times New Roman" w:eastAsiaTheme="minorEastAsia"/>
                <w:color w:val="000000"/>
                <w:kern w:val="0"/>
              </w:rPr>
              <w:t>1.049</w:t>
            </w:r>
          </w:p>
        </w:tc>
        <w:tc>
          <w:tcPr>
            <w:tcW w:w="531"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0</w:t>
            </w:r>
          </w:p>
        </w:tc>
        <w:tc>
          <w:tcPr>
            <w:tcW w:w="430" w:type="dxa"/>
            <w:vAlign w:val="center"/>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11</w:t>
            </w:r>
          </w:p>
        </w:tc>
        <w:tc>
          <w:tcPr>
            <w:tcW w:w="426" w:type="dxa"/>
          </w:tcPr>
          <w:p>
            <w:pPr>
              <w:pStyle w:val="2"/>
              <w:spacing w:line="320" w:lineRule="exact"/>
              <w:ind w:firstLine="0" w:firstLineChars="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否</w:t>
            </w:r>
          </w:p>
        </w:tc>
      </w:tr>
    </w:tbl>
    <w:p>
      <w:pPr>
        <w:rPr>
          <w:rFonts w:ascii="黑体" w:hAnsi="黑体" w:eastAsia="黑体" w:cs="黑体"/>
          <w:b/>
          <w:bCs/>
          <w:sz w:val="32"/>
          <w:szCs w:val="32"/>
        </w:rPr>
      </w:pP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完成人情况</w:t>
      </w:r>
    </w:p>
    <w:p>
      <w:pPr>
        <w:rPr>
          <w:rFonts w:ascii="仿宋" w:hAnsi="仿宋" w:eastAsia="仿宋" w:cs="仿宋"/>
          <w:sz w:val="32"/>
          <w:szCs w:val="32"/>
        </w:rPr>
      </w:pPr>
      <w:r>
        <w:rPr>
          <w:rFonts w:hint="eastAsia" w:ascii="仿宋" w:hAnsi="仿宋" w:eastAsia="仿宋" w:cs="仿宋"/>
          <w:sz w:val="32"/>
          <w:szCs w:val="32"/>
        </w:rPr>
        <w:t>-包括姓名、排名、职称、行政职务、工作单位、对本项目贡献</w:t>
      </w:r>
    </w:p>
    <w:p>
      <w:pPr>
        <w:spacing w:line="360" w:lineRule="auto"/>
        <w:ind w:firstLine="640" w:firstLineChars="200"/>
        <w:rPr>
          <w:rFonts w:ascii="仿宋_GB2312" w:eastAsia="仿宋_GB2312" w:hAnsiTheme="minorEastAsia"/>
          <w:color w:val="0D0D0D"/>
          <w:spacing w:val="2"/>
          <w:sz w:val="32"/>
          <w:szCs w:val="32"/>
        </w:rPr>
      </w:pPr>
      <w:r>
        <w:rPr>
          <w:rFonts w:hint="eastAsia" w:ascii="仿宋" w:hAnsi="仿宋" w:eastAsia="仿宋" w:cs="仿宋"/>
          <w:sz w:val="32"/>
          <w:szCs w:val="32"/>
        </w:rPr>
        <w:t>⑴姓名</w:t>
      </w:r>
      <w:r>
        <w:rPr>
          <w:rFonts w:ascii="仿宋" w:hAnsi="仿宋" w:eastAsia="仿宋" w:cs="仿宋"/>
          <w:sz w:val="32"/>
          <w:szCs w:val="32"/>
        </w:rPr>
        <w:t>：侯令密</w:t>
      </w:r>
      <w:r>
        <w:rPr>
          <w:rFonts w:hint="eastAsia" w:ascii="仿宋" w:hAnsi="仿宋" w:eastAsia="仿宋" w:cs="仿宋"/>
          <w:sz w:val="32"/>
          <w:szCs w:val="32"/>
        </w:rPr>
        <w:t>，排名</w:t>
      </w:r>
      <w:r>
        <w:rPr>
          <w:rFonts w:ascii="仿宋" w:hAnsi="仿宋" w:eastAsia="仿宋" w:cs="仿宋"/>
          <w:sz w:val="32"/>
          <w:szCs w:val="32"/>
        </w:rPr>
        <w:t>：</w:t>
      </w:r>
      <w:r>
        <w:rPr>
          <w:rFonts w:hint="eastAsia" w:ascii="仿宋" w:hAnsi="仿宋" w:eastAsia="仿宋" w:cs="仿宋"/>
          <w:sz w:val="32"/>
          <w:szCs w:val="32"/>
        </w:rPr>
        <w:t>1，职称：副主任</w:t>
      </w:r>
      <w:r>
        <w:rPr>
          <w:rFonts w:ascii="仿宋" w:hAnsi="仿宋" w:eastAsia="仿宋" w:cs="仿宋"/>
          <w:sz w:val="32"/>
          <w:szCs w:val="32"/>
        </w:rPr>
        <w:t>医师</w:t>
      </w:r>
      <w:r>
        <w:rPr>
          <w:rFonts w:hint="eastAsia" w:ascii="仿宋" w:hAnsi="仿宋" w:eastAsia="仿宋" w:cs="仿宋"/>
          <w:sz w:val="32"/>
          <w:szCs w:val="32"/>
        </w:rPr>
        <w:t>，</w:t>
      </w:r>
      <w:r>
        <w:rPr>
          <w:rFonts w:ascii="仿宋" w:hAnsi="仿宋" w:eastAsia="仿宋" w:cs="仿宋"/>
          <w:sz w:val="32"/>
          <w:szCs w:val="32"/>
        </w:rPr>
        <w:t>行政职务</w:t>
      </w:r>
      <w:r>
        <w:rPr>
          <w:rFonts w:hint="eastAsia" w:ascii="仿宋" w:hAnsi="仿宋" w:eastAsia="仿宋" w:cs="仿宋"/>
          <w:sz w:val="32"/>
          <w:szCs w:val="32"/>
        </w:rPr>
        <w:t>：科技部</w:t>
      </w:r>
      <w:r>
        <w:rPr>
          <w:rFonts w:ascii="仿宋" w:hAnsi="仿宋" w:eastAsia="仿宋" w:cs="仿宋"/>
          <w:sz w:val="32"/>
          <w:szCs w:val="32"/>
        </w:rPr>
        <w:t>副</w:t>
      </w:r>
      <w:r>
        <w:rPr>
          <w:rFonts w:hint="eastAsia" w:ascii="仿宋" w:hAnsi="仿宋" w:eastAsia="仿宋" w:cs="仿宋"/>
          <w:sz w:val="32"/>
          <w:szCs w:val="32"/>
        </w:rPr>
        <w:t>部</w:t>
      </w:r>
      <w:r>
        <w:rPr>
          <w:rFonts w:ascii="仿宋" w:hAnsi="仿宋" w:eastAsia="仿宋" w:cs="仿宋"/>
          <w:sz w:val="32"/>
          <w:szCs w:val="32"/>
        </w:rPr>
        <w:t>长</w:t>
      </w:r>
      <w:r>
        <w:rPr>
          <w:rFonts w:hint="eastAsia" w:ascii="仿宋" w:hAnsi="仿宋" w:eastAsia="仿宋" w:cs="仿宋"/>
          <w:sz w:val="32"/>
          <w:szCs w:val="32"/>
        </w:rPr>
        <w:t>、乳腺癌生物靶向研究室主任，工作</w:t>
      </w:r>
      <w:r>
        <w:rPr>
          <w:rFonts w:ascii="仿宋" w:hAnsi="仿宋" w:eastAsia="仿宋" w:cs="仿宋"/>
          <w:sz w:val="32"/>
          <w:szCs w:val="32"/>
        </w:rPr>
        <w:t>单位</w:t>
      </w:r>
      <w:r>
        <w:rPr>
          <w:rFonts w:hint="eastAsia" w:ascii="仿宋" w:hAnsi="仿宋" w:eastAsia="仿宋" w:cs="仿宋"/>
          <w:sz w:val="32"/>
          <w:szCs w:val="32"/>
        </w:rPr>
        <w:t>：</w:t>
      </w:r>
      <w:r>
        <w:rPr>
          <w:rFonts w:ascii="仿宋" w:hAnsi="仿宋" w:eastAsia="仿宋" w:cs="仿宋"/>
          <w:sz w:val="32"/>
          <w:szCs w:val="32"/>
        </w:rPr>
        <w:t>川北医学院附属医院</w:t>
      </w:r>
      <w:r>
        <w:rPr>
          <w:rFonts w:hint="eastAsia" w:ascii="仿宋" w:hAnsi="仿宋" w:eastAsia="仿宋" w:cs="仿宋"/>
          <w:sz w:val="32"/>
          <w:szCs w:val="32"/>
        </w:rPr>
        <w:t>，</w:t>
      </w:r>
      <w:r>
        <w:rPr>
          <w:rFonts w:ascii="仿宋" w:hAnsi="仿宋" w:eastAsia="仿宋" w:cs="仿宋"/>
          <w:sz w:val="32"/>
          <w:szCs w:val="32"/>
        </w:rPr>
        <w:t>对项目</w:t>
      </w:r>
      <w:r>
        <w:rPr>
          <w:rFonts w:hint="eastAsia" w:ascii="仿宋" w:hAnsi="仿宋" w:eastAsia="仿宋" w:cs="仿宋"/>
          <w:sz w:val="32"/>
          <w:szCs w:val="32"/>
        </w:rPr>
        <w:t>的</w:t>
      </w:r>
      <w:r>
        <w:rPr>
          <w:rFonts w:ascii="仿宋" w:hAnsi="仿宋" w:eastAsia="仿宋" w:cs="仿宋"/>
          <w:sz w:val="32"/>
          <w:szCs w:val="32"/>
        </w:rPr>
        <w:t>贡献：</w:t>
      </w:r>
      <w:r>
        <w:rPr>
          <w:rFonts w:hint="eastAsia" w:ascii="仿宋_GB2312" w:eastAsia="仿宋_GB2312" w:hAnsiTheme="minorEastAsia"/>
          <w:color w:val="0D0D0D"/>
          <w:spacing w:val="2"/>
          <w:sz w:val="32"/>
          <w:szCs w:val="32"/>
        </w:rPr>
        <w:t>主持及参与与本成果相关的国家级及省部级课题。对本成果的规划、设计和研究及管理起到负责人的作用。对本项目乳腺癌的</w:t>
      </w:r>
      <w:r>
        <w:rPr>
          <w:rFonts w:ascii="仿宋_GB2312" w:eastAsia="仿宋_GB2312" w:hAnsiTheme="minorEastAsia"/>
          <w:color w:val="0D0D0D"/>
          <w:spacing w:val="2"/>
          <w:sz w:val="32"/>
          <w:szCs w:val="32"/>
        </w:rPr>
        <w:t>诊疗相关靶标</w:t>
      </w:r>
      <w:r>
        <w:rPr>
          <w:rFonts w:hint="eastAsia" w:ascii="仿宋_GB2312" w:eastAsia="仿宋_GB2312" w:hAnsiTheme="minorEastAsia"/>
          <w:color w:val="0D0D0D"/>
          <w:spacing w:val="2"/>
          <w:sz w:val="32"/>
          <w:szCs w:val="32"/>
        </w:rPr>
        <w:t>筛选</w:t>
      </w:r>
      <w:r>
        <w:rPr>
          <w:rFonts w:ascii="仿宋_GB2312" w:eastAsia="仿宋_GB2312" w:hAnsiTheme="minorEastAsia"/>
          <w:color w:val="0D0D0D"/>
          <w:spacing w:val="2"/>
          <w:sz w:val="32"/>
          <w:szCs w:val="32"/>
        </w:rPr>
        <w:t>验证，</w:t>
      </w:r>
      <w:r>
        <w:rPr>
          <w:rFonts w:hint="eastAsia" w:ascii="仿宋_GB2312" w:eastAsia="仿宋_GB2312" w:hAnsiTheme="minorEastAsia"/>
          <w:color w:val="0D0D0D"/>
          <w:spacing w:val="2"/>
          <w:sz w:val="32"/>
          <w:szCs w:val="32"/>
        </w:rPr>
        <w:t>乳腺癌侵袭转移的分子机制探讨</w:t>
      </w:r>
      <w:r>
        <w:rPr>
          <w:rFonts w:ascii="仿宋_GB2312" w:eastAsia="仿宋_GB2312" w:hAnsiTheme="minorEastAsia"/>
          <w:color w:val="0D0D0D"/>
          <w:spacing w:val="2"/>
          <w:sz w:val="32"/>
          <w:szCs w:val="32"/>
        </w:rPr>
        <w:t>，</w:t>
      </w:r>
      <w:r>
        <w:rPr>
          <w:rFonts w:hint="eastAsia" w:ascii="仿宋_GB2312" w:eastAsia="仿宋_GB2312" w:hAnsiTheme="minorEastAsia"/>
          <w:color w:val="0D0D0D"/>
          <w:spacing w:val="2"/>
          <w:sz w:val="32"/>
          <w:szCs w:val="32"/>
        </w:rPr>
        <w:t>晚期</w:t>
      </w:r>
      <w:r>
        <w:rPr>
          <w:rFonts w:ascii="仿宋_GB2312" w:eastAsia="仿宋_GB2312" w:hAnsiTheme="minorEastAsia"/>
          <w:color w:val="0D0D0D"/>
          <w:spacing w:val="2"/>
          <w:sz w:val="32"/>
          <w:szCs w:val="32"/>
        </w:rPr>
        <w:t>乳腺</w:t>
      </w:r>
      <w:r>
        <w:rPr>
          <w:rFonts w:hint="eastAsia" w:ascii="仿宋_GB2312" w:eastAsia="仿宋_GB2312" w:hAnsiTheme="minorEastAsia"/>
          <w:color w:val="0D0D0D"/>
          <w:spacing w:val="2"/>
          <w:sz w:val="32"/>
          <w:szCs w:val="32"/>
        </w:rPr>
        <w:t>癌疗效</w:t>
      </w:r>
      <w:r>
        <w:rPr>
          <w:rFonts w:ascii="仿宋_GB2312" w:eastAsia="仿宋_GB2312" w:hAnsiTheme="minorEastAsia"/>
          <w:color w:val="0D0D0D"/>
          <w:spacing w:val="2"/>
          <w:sz w:val="32"/>
          <w:szCs w:val="32"/>
        </w:rPr>
        <w:t>分析，</w:t>
      </w:r>
      <w:r>
        <w:rPr>
          <w:rFonts w:hint="eastAsia" w:ascii="仿宋_GB2312" w:eastAsia="仿宋_GB2312" w:hAnsiTheme="minorEastAsia"/>
          <w:color w:val="0D0D0D"/>
          <w:spacing w:val="2"/>
          <w:sz w:val="32"/>
          <w:szCs w:val="32"/>
        </w:rPr>
        <w:t>临床</w:t>
      </w:r>
      <w:r>
        <w:rPr>
          <w:rFonts w:ascii="仿宋_GB2312" w:eastAsia="仿宋_GB2312" w:hAnsiTheme="minorEastAsia"/>
          <w:color w:val="0D0D0D"/>
          <w:spacing w:val="2"/>
          <w:sz w:val="32"/>
          <w:szCs w:val="32"/>
        </w:rPr>
        <w:t>大数据分析处理起</w:t>
      </w:r>
      <w:r>
        <w:rPr>
          <w:rFonts w:hint="eastAsia" w:ascii="仿宋_GB2312" w:eastAsia="仿宋_GB2312" w:hAnsiTheme="minorEastAsia"/>
          <w:color w:val="0D0D0D"/>
          <w:spacing w:val="2"/>
          <w:sz w:val="32"/>
          <w:szCs w:val="32"/>
        </w:rPr>
        <w:t>负责人的作用。对协作单位起到了协调和指导的作用。最终对本成果的形成起到了第一责任人的作用。</w:t>
      </w:r>
    </w:p>
    <w:p>
      <w:pPr>
        <w:rPr>
          <w:rFonts w:ascii="仿宋" w:hAnsi="仿宋" w:eastAsia="仿宋" w:cs="仿宋"/>
          <w:sz w:val="32"/>
          <w:szCs w:val="32"/>
        </w:rPr>
      </w:pPr>
      <w:r>
        <w:rPr>
          <w:rFonts w:hint="eastAsia" w:ascii="仿宋" w:hAnsi="仿宋" w:eastAsia="仿宋" w:cs="仿宋"/>
          <w:sz w:val="32"/>
          <w:szCs w:val="32"/>
        </w:rPr>
        <w:t>⑵姓名</w:t>
      </w:r>
      <w:r>
        <w:rPr>
          <w:rFonts w:ascii="仿宋" w:hAnsi="仿宋" w:eastAsia="仿宋" w:cs="仿宋"/>
          <w:sz w:val="32"/>
          <w:szCs w:val="32"/>
        </w:rPr>
        <w:t>：邓世山，</w:t>
      </w:r>
      <w:r>
        <w:rPr>
          <w:rFonts w:hint="eastAsia" w:ascii="仿宋" w:hAnsi="仿宋" w:eastAsia="仿宋" w:cs="仿宋"/>
          <w:sz w:val="32"/>
          <w:szCs w:val="32"/>
        </w:rPr>
        <w:t>排名</w:t>
      </w:r>
      <w:r>
        <w:rPr>
          <w:rFonts w:ascii="仿宋" w:hAnsi="仿宋" w:eastAsia="仿宋" w:cs="仿宋"/>
          <w:sz w:val="32"/>
          <w:szCs w:val="32"/>
        </w:rPr>
        <w:t>：</w:t>
      </w:r>
      <w:r>
        <w:rPr>
          <w:rFonts w:hint="eastAsia" w:ascii="仿宋" w:hAnsi="仿宋" w:eastAsia="仿宋" w:cs="仿宋"/>
          <w:sz w:val="32"/>
          <w:szCs w:val="32"/>
        </w:rPr>
        <w:t>2，职称</w:t>
      </w:r>
      <w:r>
        <w:rPr>
          <w:rFonts w:ascii="仿宋" w:hAnsi="仿宋" w:eastAsia="仿宋" w:cs="仿宋"/>
          <w:sz w:val="32"/>
          <w:szCs w:val="32"/>
        </w:rPr>
        <w:t>：教授，行政职务：</w:t>
      </w:r>
      <w:r>
        <w:rPr>
          <w:rFonts w:hint="eastAsia" w:ascii="仿宋" w:hAnsi="仿宋" w:eastAsia="仿宋" w:cs="仿宋"/>
          <w:sz w:val="32"/>
          <w:szCs w:val="32"/>
        </w:rPr>
        <w:t>科技处</w:t>
      </w:r>
      <w:r>
        <w:rPr>
          <w:rFonts w:ascii="仿宋" w:hAnsi="仿宋" w:eastAsia="仿宋" w:cs="仿宋"/>
          <w:sz w:val="32"/>
          <w:szCs w:val="32"/>
        </w:rPr>
        <w:t>处长，工作单位：川北医学院</w:t>
      </w:r>
      <w:r>
        <w:rPr>
          <w:rFonts w:hint="eastAsia" w:ascii="仿宋" w:hAnsi="仿宋" w:eastAsia="仿宋" w:cs="仿宋"/>
          <w:sz w:val="32"/>
          <w:szCs w:val="32"/>
        </w:rPr>
        <w:t>，</w:t>
      </w:r>
      <w:r>
        <w:rPr>
          <w:rFonts w:ascii="仿宋" w:hAnsi="仿宋" w:eastAsia="仿宋" w:cs="仿宋"/>
          <w:sz w:val="32"/>
          <w:szCs w:val="32"/>
        </w:rPr>
        <w:t>对项目的贡献：</w:t>
      </w:r>
      <w:r>
        <w:rPr>
          <w:rFonts w:hint="eastAsia" w:ascii="仿宋_GB2312" w:eastAsia="仿宋_GB2312" w:hAnsiTheme="minorEastAsia"/>
          <w:color w:val="0D0D0D"/>
          <w:spacing w:val="2"/>
          <w:sz w:val="32"/>
          <w:szCs w:val="32"/>
        </w:rPr>
        <w:t>参与</w:t>
      </w:r>
      <w:r>
        <w:rPr>
          <w:rFonts w:ascii="仿宋_GB2312" w:eastAsia="仿宋_GB2312" w:hAnsiTheme="minorEastAsia"/>
          <w:color w:val="0D0D0D"/>
          <w:spacing w:val="2"/>
          <w:sz w:val="32"/>
          <w:szCs w:val="32"/>
        </w:rPr>
        <w:t>及主持</w:t>
      </w:r>
      <w:r>
        <w:rPr>
          <w:rFonts w:hint="eastAsia" w:ascii="仿宋_GB2312" w:eastAsia="仿宋_GB2312" w:hAnsiTheme="minorEastAsia"/>
          <w:color w:val="0D0D0D"/>
          <w:spacing w:val="2"/>
          <w:sz w:val="32"/>
          <w:szCs w:val="32"/>
        </w:rPr>
        <w:t>与本成果相关的国家级及省部级课题，</w:t>
      </w:r>
      <w:r>
        <w:rPr>
          <w:rFonts w:hint="eastAsia" w:ascii="仿宋" w:hAnsi="仿宋" w:eastAsia="仿宋" w:cs="仿宋"/>
          <w:sz w:val="32"/>
          <w:szCs w:val="32"/>
        </w:rPr>
        <w:t>协助课题设计与规划实施。研究发现U</w:t>
      </w:r>
      <w:r>
        <w:rPr>
          <w:rFonts w:ascii="仿宋" w:hAnsi="仿宋" w:eastAsia="仿宋" w:cs="仿宋"/>
          <w:sz w:val="32"/>
          <w:szCs w:val="32"/>
        </w:rPr>
        <w:t>BE3A</w:t>
      </w:r>
      <w:r>
        <w:rPr>
          <w:rFonts w:hint="eastAsia" w:ascii="仿宋" w:hAnsi="仿宋" w:eastAsia="仿宋" w:cs="仿宋"/>
          <w:sz w:val="32"/>
          <w:szCs w:val="32"/>
        </w:rPr>
        <w:t>、A</w:t>
      </w:r>
      <w:r>
        <w:rPr>
          <w:rFonts w:ascii="仿宋" w:hAnsi="仿宋" w:eastAsia="仿宋" w:cs="仿宋"/>
          <w:sz w:val="32"/>
          <w:szCs w:val="32"/>
        </w:rPr>
        <w:t>nnexin A2</w:t>
      </w:r>
      <w:r>
        <w:rPr>
          <w:rFonts w:hint="eastAsia" w:ascii="仿宋" w:hAnsi="仿宋" w:eastAsia="仿宋" w:cs="仿宋"/>
          <w:sz w:val="32"/>
          <w:szCs w:val="32"/>
        </w:rPr>
        <w:t>、</w:t>
      </w:r>
      <w:r>
        <w:rPr>
          <w:rFonts w:ascii="仿宋" w:hAnsi="仿宋" w:eastAsia="仿宋" w:cs="仿宋"/>
          <w:sz w:val="32"/>
          <w:szCs w:val="32"/>
        </w:rPr>
        <w:t>USP25</w:t>
      </w:r>
      <w:r>
        <w:rPr>
          <w:rFonts w:hint="eastAsia" w:ascii="仿宋" w:hAnsi="仿宋" w:eastAsia="仿宋" w:cs="仿宋"/>
          <w:sz w:val="32"/>
          <w:szCs w:val="32"/>
        </w:rPr>
        <w:t>等乳腺癌相关生物学</w:t>
      </w:r>
      <w:r>
        <w:rPr>
          <w:rFonts w:ascii="仿宋" w:hAnsi="仿宋" w:eastAsia="仿宋" w:cs="仿宋"/>
          <w:sz w:val="32"/>
          <w:szCs w:val="32"/>
        </w:rPr>
        <w:t>靶标，并通过细胞学和动物学模型证实</w:t>
      </w:r>
      <w:r>
        <w:rPr>
          <w:rFonts w:hint="eastAsia" w:ascii="仿宋" w:hAnsi="仿宋" w:eastAsia="仿宋" w:cs="仿宋"/>
          <w:sz w:val="32"/>
          <w:szCs w:val="32"/>
        </w:rPr>
        <w:t>其</w:t>
      </w:r>
      <w:r>
        <w:rPr>
          <w:rFonts w:ascii="仿宋" w:hAnsi="仿宋" w:eastAsia="仿宋" w:cs="仿宋"/>
          <w:sz w:val="32"/>
          <w:szCs w:val="32"/>
        </w:rPr>
        <w:t>相关生物学功能</w:t>
      </w:r>
      <w:r>
        <w:rPr>
          <w:rFonts w:hint="eastAsia" w:ascii="仿宋" w:hAnsi="仿宋" w:eastAsia="仿宋" w:cs="仿宋"/>
          <w:sz w:val="32"/>
          <w:szCs w:val="32"/>
        </w:rPr>
        <w:t>，协同“DNAPTP3- MST1” 这一通路的确立和相关机制的阐明，</w:t>
      </w:r>
      <w:r>
        <w:rPr>
          <w:rFonts w:ascii="仿宋" w:hAnsi="仿宋" w:eastAsia="仿宋" w:cs="仿宋"/>
          <w:sz w:val="32"/>
          <w:szCs w:val="32"/>
        </w:rPr>
        <w:t>为乳腺癌的发病机制</w:t>
      </w:r>
      <w:r>
        <w:rPr>
          <w:rFonts w:hint="eastAsia" w:ascii="仿宋" w:hAnsi="仿宋" w:eastAsia="仿宋" w:cs="仿宋"/>
          <w:sz w:val="32"/>
          <w:szCs w:val="32"/>
        </w:rPr>
        <w:t>提供</w:t>
      </w:r>
      <w:r>
        <w:rPr>
          <w:rFonts w:ascii="仿宋" w:hAnsi="仿宋" w:eastAsia="仿宋" w:cs="仿宋"/>
          <w:sz w:val="32"/>
          <w:szCs w:val="32"/>
        </w:rPr>
        <w:t>了重要</w:t>
      </w:r>
      <w:r>
        <w:rPr>
          <w:rFonts w:hint="eastAsia" w:ascii="仿宋" w:hAnsi="仿宋" w:eastAsia="仿宋" w:cs="仿宋"/>
          <w:sz w:val="32"/>
          <w:szCs w:val="32"/>
        </w:rPr>
        <w:t>依据。</w:t>
      </w:r>
    </w:p>
    <w:p>
      <w:pPr>
        <w:rPr>
          <w:rFonts w:ascii="仿宋" w:hAnsi="仿宋" w:eastAsia="仿宋" w:cs="仿宋"/>
          <w:sz w:val="32"/>
          <w:szCs w:val="32"/>
        </w:rPr>
      </w:pPr>
      <w:r>
        <w:rPr>
          <w:rFonts w:hint="eastAsia" w:ascii="仿宋" w:hAnsi="仿宋" w:eastAsia="仿宋" w:cs="仿宋"/>
          <w:sz w:val="32"/>
          <w:szCs w:val="32"/>
        </w:rPr>
        <w:t>⑶姓名</w:t>
      </w:r>
      <w:r>
        <w:rPr>
          <w:rFonts w:ascii="仿宋" w:hAnsi="仿宋" w:eastAsia="仿宋" w:cs="仿宋"/>
          <w:sz w:val="32"/>
          <w:szCs w:val="32"/>
        </w:rPr>
        <w:t>：</w:t>
      </w:r>
      <w:r>
        <w:rPr>
          <w:rFonts w:hint="eastAsia" w:ascii="仿宋" w:hAnsi="仿宋" w:eastAsia="仿宋" w:cs="仿宋"/>
          <w:sz w:val="32"/>
          <w:szCs w:val="32"/>
        </w:rPr>
        <w:t>陈茂山，</w:t>
      </w:r>
      <w:r>
        <w:rPr>
          <w:rFonts w:ascii="仿宋" w:hAnsi="仿宋" w:eastAsia="仿宋" w:cs="仿宋"/>
          <w:sz w:val="32"/>
          <w:szCs w:val="32"/>
        </w:rPr>
        <w:t>排名</w:t>
      </w:r>
      <w:r>
        <w:rPr>
          <w:rFonts w:hint="eastAsia" w:ascii="仿宋" w:hAnsi="仿宋" w:eastAsia="仿宋" w:cs="仿宋"/>
          <w:sz w:val="32"/>
          <w:szCs w:val="32"/>
        </w:rPr>
        <w:t>：3，职称：</w:t>
      </w:r>
      <w:r>
        <w:rPr>
          <w:rFonts w:ascii="仿宋" w:hAnsi="仿宋" w:eastAsia="仿宋" w:cs="仿宋"/>
          <w:sz w:val="32"/>
          <w:szCs w:val="32"/>
        </w:rPr>
        <w:t>主治医师，行政职务：无</w:t>
      </w:r>
      <w:r>
        <w:rPr>
          <w:rFonts w:hint="eastAsia" w:ascii="仿宋" w:hAnsi="仿宋" w:eastAsia="仿宋" w:cs="仿宋"/>
          <w:sz w:val="32"/>
          <w:szCs w:val="32"/>
        </w:rPr>
        <w:t>，</w:t>
      </w:r>
      <w:r>
        <w:rPr>
          <w:rFonts w:ascii="仿宋" w:hAnsi="仿宋" w:eastAsia="仿宋" w:cs="仿宋"/>
          <w:sz w:val="32"/>
          <w:szCs w:val="32"/>
        </w:rPr>
        <w:t>工作单位：遂宁市中心医院</w:t>
      </w:r>
      <w:r>
        <w:rPr>
          <w:rFonts w:hint="eastAsia" w:ascii="仿宋" w:hAnsi="仿宋" w:eastAsia="仿宋" w:cs="仿宋"/>
          <w:sz w:val="32"/>
          <w:szCs w:val="32"/>
        </w:rPr>
        <w:t>，</w:t>
      </w:r>
      <w:r>
        <w:rPr>
          <w:rFonts w:ascii="仿宋" w:hAnsi="仿宋" w:eastAsia="仿宋" w:cs="仿宋"/>
          <w:sz w:val="32"/>
          <w:szCs w:val="32"/>
        </w:rPr>
        <w:t>对项目的</w:t>
      </w:r>
      <w:r>
        <w:rPr>
          <w:rFonts w:hint="eastAsia" w:ascii="仿宋" w:hAnsi="仿宋" w:eastAsia="仿宋" w:cs="仿宋"/>
          <w:sz w:val="32"/>
          <w:szCs w:val="32"/>
        </w:rPr>
        <w:t>贡献</w:t>
      </w:r>
      <w:r>
        <w:rPr>
          <w:rFonts w:ascii="仿宋" w:hAnsi="仿宋" w:eastAsia="仿宋" w:cs="仿宋"/>
          <w:sz w:val="32"/>
          <w:szCs w:val="32"/>
        </w:rPr>
        <w:t>：</w:t>
      </w:r>
      <w:r>
        <w:rPr>
          <w:rFonts w:hint="eastAsia" w:ascii="仿宋" w:hAnsi="仿宋" w:eastAsia="仿宋" w:cs="仿宋"/>
          <w:sz w:val="32"/>
          <w:szCs w:val="32"/>
        </w:rPr>
        <w:t>协助</w:t>
      </w:r>
      <w:r>
        <w:rPr>
          <w:rFonts w:ascii="仿宋" w:hAnsi="仿宋" w:eastAsia="仿宋" w:cs="仿宋"/>
          <w:sz w:val="32"/>
          <w:szCs w:val="32"/>
        </w:rPr>
        <w:t>乳腺</w:t>
      </w:r>
      <w:r>
        <w:rPr>
          <w:rFonts w:hint="eastAsia" w:ascii="仿宋" w:hAnsi="仿宋" w:eastAsia="仿宋" w:cs="仿宋"/>
          <w:sz w:val="32"/>
          <w:szCs w:val="32"/>
        </w:rPr>
        <w:t>癌</w:t>
      </w:r>
      <w:r>
        <w:rPr>
          <w:rFonts w:ascii="仿宋" w:hAnsi="仿宋" w:eastAsia="仿宋" w:cs="仿宋"/>
          <w:sz w:val="32"/>
          <w:szCs w:val="32"/>
        </w:rPr>
        <w:t>生物学靶标的筛选和验证，</w:t>
      </w:r>
      <w:r>
        <w:rPr>
          <w:rFonts w:hint="eastAsia" w:ascii="仿宋" w:hAnsi="仿宋" w:eastAsia="仿宋" w:cs="仿宋"/>
          <w:sz w:val="32"/>
          <w:szCs w:val="32"/>
        </w:rPr>
        <w:t>完成乳腺癌疾病的流行病学研究，通过新辅助化疗对局部晚期乳腺癌的疗效分析，证实了局部晚期乳腺癌改善生存的有效手段，为新辅助化疗方案的选择提供重要理论依据；并促进基础临床转化。参与多中心临床试验，进行临床数据研究，通过统计学方法构建数据模型。</w:t>
      </w:r>
    </w:p>
    <w:p>
      <w:pPr>
        <w:rPr>
          <w:rFonts w:ascii="仿宋" w:hAnsi="仿宋" w:eastAsia="仿宋" w:cs="仿宋"/>
          <w:sz w:val="32"/>
          <w:szCs w:val="32"/>
        </w:rPr>
      </w:pPr>
      <w:r>
        <w:rPr>
          <w:rFonts w:hint="eastAsia" w:ascii="仿宋" w:hAnsi="仿宋" w:eastAsia="仿宋" w:cs="仿宋"/>
          <w:sz w:val="32"/>
          <w:szCs w:val="32"/>
        </w:rPr>
        <w:t>⑷姓名</w:t>
      </w:r>
      <w:r>
        <w:rPr>
          <w:rFonts w:ascii="仿宋" w:hAnsi="仿宋" w:eastAsia="仿宋" w:cs="仿宋"/>
          <w:sz w:val="32"/>
          <w:szCs w:val="32"/>
        </w:rPr>
        <w:t>：</w:t>
      </w:r>
      <w:r>
        <w:rPr>
          <w:rFonts w:hint="eastAsia" w:ascii="仿宋" w:hAnsi="仿宋" w:eastAsia="仿宋" w:cs="仿宋"/>
          <w:sz w:val="32"/>
          <w:szCs w:val="32"/>
        </w:rPr>
        <w:t>王东生</w:t>
      </w:r>
      <w:r>
        <w:rPr>
          <w:rFonts w:ascii="仿宋" w:hAnsi="仿宋" w:eastAsia="仿宋" w:cs="仿宋"/>
          <w:sz w:val="32"/>
          <w:szCs w:val="32"/>
        </w:rPr>
        <w:t>，排名：</w:t>
      </w:r>
      <w:r>
        <w:rPr>
          <w:rFonts w:hint="eastAsia" w:ascii="仿宋" w:hAnsi="仿宋" w:eastAsia="仿宋" w:cs="仿宋"/>
          <w:sz w:val="32"/>
          <w:szCs w:val="32"/>
        </w:rPr>
        <w:t>4，</w:t>
      </w:r>
      <w:r>
        <w:rPr>
          <w:rFonts w:ascii="仿宋" w:hAnsi="仿宋" w:eastAsia="仿宋" w:cs="仿宋"/>
          <w:sz w:val="32"/>
          <w:szCs w:val="32"/>
        </w:rPr>
        <w:t>职称：</w:t>
      </w:r>
      <w:r>
        <w:rPr>
          <w:rFonts w:hint="eastAsia" w:ascii="仿宋" w:hAnsi="仿宋" w:eastAsia="仿宋" w:cs="仿宋"/>
          <w:sz w:val="32"/>
          <w:szCs w:val="32"/>
        </w:rPr>
        <w:t>主任</w:t>
      </w:r>
      <w:r>
        <w:rPr>
          <w:rFonts w:ascii="仿宋" w:hAnsi="仿宋" w:eastAsia="仿宋" w:cs="仿宋"/>
          <w:sz w:val="32"/>
          <w:szCs w:val="32"/>
        </w:rPr>
        <w:t>技师，行政职务：</w:t>
      </w:r>
      <w:r>
        <w:rPr>
          <w:rFonts w:hint="eastAsia" w:ascii="仿宋" w:hAnsi="仿宋" w:eastAsia="仿宋" w:cs="仿宋"/>
          <w:sz w:val="32"/>
          <w:szCs w:val="32"/>
        </w:rPr>
        <w:t>检验科</w:t>
      </w:r>
      <w:r>
        <w:rPr>
          <w:rFonts w:ascii="仿宋" w:hAnsi="仿宋" w:eastAsia="仿宋" w:cs="仿宋"/>
          <w:sz w:val="32"/>
          <w:szCs w:val="32"/>
        </w:rPr>
        <w:t>主任。工作</w:t>
      </w:r>
      <w:r>
        <w:rPr>
          <w:rFonts w:hint="eastAsia" w:ascii="仿宋" w:hAnsi="仿宋" w:eastAsia="仿宋" w:cs="仿宋"/>
          <w:sz w:val="32"/>
          <w:szCs w:val="32"/>
        </w:rPr>
        <w:t>单位</w:t>
      </w:r>
      <w:r>
        <w:rPr>
          <w:rFonts w:ascii="仿宋" w:hAnsi="仿宋" w:eastAsia="仿宋" w:cs="仿宋"/>
          <w:sz w:val="32"/>
          <w:szCs w:val="32"/>
        </w:rPr>
        <w:t>：川北医学院附属医院，对项目的贡献：</w:t>
      </w:r>
      <w:r>
        <w:rPr>
          <w:rFonts w:hint="eastAsia" w:ascii="仿宋_GB2312" w:eastAsia="仿宋_GB2312" w:hAnsiTheme="minorEastAsia"/>
          <w:color w:val="0D0D0D"/>
          <w:spacing w:val="2"/>
          <w:sz w:val="32"/>
          <w:szCs w:val="32"/>
        </w:rPr>
        <w:t>参与</w:t>
      </w:r>
      <w:r>
        <w:rPr>
          <w:rFonts w:ascii="仿宋_GB2312" w:eastAsia="仿宋_GB2312" w:hAnsiTheme="minorEastAsia"/>
          <w:color w:val="0D0D0D"/>
          <w:spacing w:val="2"/>
          <w:sz w:val="32"/>
          <w:szCs w:val="32"/>
        </w:rPr>
        <w:t>及主持</w:t>
      </w:r>
      <w:r>
        <w:rPr>
          <w:rFonts w:hint="eastAsia" w:ascii="仿宋_GB2312" w:eastAsia="仿宋_GB2312" w:hAnsiTheme="minorEastAsia"/>
          <w:color w:val="0D0D0D"/>
          <w:spacing w:val="2"/>
          <w:sz w:val="32"/>
          <w:szCs w:val="32"/>
        </w:rPr>
        <w:t>与本成果相关的国家级及省部级课题，</w:t>
      </w:r>
      <w:r>
        <w:rPr>
          <w:rFonts w:hint="eastAsia" w:ascii="仿宋" w:hAnsi="仿宋" w:eastAsia="仿宋" w:cs="仿宋"/>
          <w:sz w:val="32"/>
          <w:szCs w:val="32"/>
        </w:rPr>
        <w:t>协助课题总体设计、组织实施和研究指导,研究证实了相关靶标通过</w:t>
      </w:r>
      <w:r>
        <w:rPr>
          <w:rFonts w:ascii="仿宋" w:hAnsi="仿宋" w:eastAsia="仿宋" w:cs="仿宋"/>
          <w:sz w:val="32"/>
          <w:szCs w:val="32"/>
        </w:rPr>
        <w:t>相关通路</w:t>
      </w:r>
      <w:r>
        <w:rPr>
          <w:rFonts w:hint="eastAsia" w:ascii="仿宋" w:hAnsi="仿宋" w:eastAsia="仿宋" w:cs="仿宋"/>
          <w:sz w:val="32"/>
          <w:szCs w:val="32"/>
        </w:rPr>
        <w:t>诱导自噬等生物学效应调节乳腺癌细胞的侵袭转移，为乳腺癌的发病机制与侵袭原因提供了重要依据。组织实施和研究指导、主持实验数据分析及临床转归。</w:t>
      </w:r>
    </w:p>
    <w:p>
      <w:pPr>
        <w:rPr>
          <w:rFonts w:ascii="仿宋" w:hAnsi="仿宋" w:eastAsia="仿宋" w:cs="仿宋"/>
          <w:sz w:val="32"/>
          <w:szCs w:val="32"/>
        </w:rPr>
      </w:pPr>
      <w:r>
        <w:rPr>
          <w:rFonts w:hint="eastAsia" w:ascii="仿宋" w:hAnsi="仿宋" w:eastAsia="仿宋" w:cs="仿宋"/>
          <w:sz w:val="32"/>
          <w:szCs w:val="32"/>
        </w:rPr>
        <w:t>⑸姓名</w:t>
      </w:r>
      <w:r>
        <w:rPr>
          <w:rFonts w:ascii="仿宋" w:hAnsi="仿宋" w:eastAsia="仿宋" w:cs="仿宋"/>
          <w:sz w:val="32"/>
          <w:szCs w:val="32"/>
        </w:rPr>
        <w:t>：杨宏伟，排名：</w:t>
      </w:r>
      <w:r>
        <w:rPr>
          <w:rFonts w:hint="eastAsia" w:ascii="仿宋" w:hAnsi="仿宋" w:eastAsia="仿宋" w:cs="仿宋"/>
          <w:sz w:val="32"/>
          <w:szCs w:val="32"/>
        </w:rPr>
        <w:t>5，</w:t>
      </w:r>
      <w:r>
        <w:rPr>
          <w:rFonts w:ascii="仿宋" w:hAnsi="仿宋" w:eastAsia="仿宋" w:cs="仿宋"/>
          <w:sz w:val="32"/>
          <w:szCs w:val="32"/>
        </w:rPr>
        <w:t>职称：</w:t>
      </w:r>
      <w:r>
        <w:rPr>
          <w:rFonts w:hint="eastAsia" w:ascii="仿宋" w:hAnsi="仿宋" w:eastAsia="仿宋" w:cs="仿宋"/>
          <w:sz w:val="32"/>
          <w:szCs w:val="32"/>
        </w:rPr>
        <w:t>副主任医师，</w:t>
      </w:r>
      <w:r>
        <w:rPr>
          <w:rFonts w:ascii="仿宋" w:hAnsi="仿宋" w:eastAsia="仿宋" w:cs="仿宋"/>
          <w:sz w:val="32"/>
          <w:szCs w:val="32"/>
        </w:rPr>
        <w:t>行政职务：副院长。工作</w:t>
      </w:r>
      <w:r>
        <w:rPr>
          <w:rFonts w:hint="eastAsia" w:ascii="仿宋" w:hAnsi="仿宋" w:eastAsia="仿宋" w:cs="仿宋"/>
          <w:sz w:val="32"/>
          <w:szCs w:val="32"/>
        </w:rPr>
        <w:t>单位</w:t>
      </w:r>
      <w:r>
        <w:rPr>
          <w:rFonts w:ascii="仿宋" w:hAnsi="仿宋" w:eastAsia="仿宋" w:cs="仿宋"/>
          <w:sz w:val="32"/>
          <w:szCs w:val="32"/>
        </w:rPr>
        <w:t>：遂宁市</w:t>
      </w:r>
      <w:r>
        <w:rPr>
          <w:rFonts w:hint="eastAsia" w:ascii="仿宋" w:hAnsi="仿宋" w:eastAsia="仿宋" w:cs="仿宋"/>
          <w:sz w:val="32"/>
          <w:szCs w:val="32"/>
        </w:rPr>
        <w:t>中心</w:t>
      </w:r>
      <w:r>
        <w:rPr>
          <w:rFonts w:ascii="仿宋" w:hAnsi="仿宋" w:eastAsia="仿宋" w:cs="仿宋"/>
          <w:sz w:val="32"/>
          <w:szCs w:val="32"/>
        </w:rPr>
        <w:t>医院，对项目的贡献：</w:t>
      </w:r>
      <w:r>
        <w:rPr>
          <w:rFonts w:hint="eastAsia" w:ascii="仿宋" w:hAnsi="仿宋" w:eastAsia="仿宋" w:cs="仿宋"/>
          <w:sz w:val="32"/>
          <w:szCs w:val="32"/>
        </w:rPr>
        <w:t>利用回顾性临床数据和公共数据库，进行临床大数据研究，为腋窝淋巴结患者的放化疗干预方法提供了新的治疗思路，指导临床实施。完成乳腺癌疾病的流行病学研究，协同主持多中心随机对照，指导基础工作</w:t>
      </w:r>
      <w:r>
        <w:rPr>
          <w:rFonts w:ascii="仿宋" w:hAnsi="仿宋" w:eastAsia="仿宋" w:cs="仿宋"/>
          <w:sz w:val="32"/>
          <w:szCs w:val="32"/>
        </w:rPr>
        <w:t>到临床</w:t>
      </w:r>
      <w:r>
        <w:rPr>
          <w:rFonts w:hint="eastAsia" w:ascii="仿宋" w:hAnsi="仿宋" w:eastAsia="仿宋" w:cs="仿宋"/>
          <w:sz w:val="32"/>
          <w:szCs w:val="32"/>
        </w:rPr>
        <w:t>应用</w:t>
      </w:r>
      <w:r>
        <w:rPr>
          <w:rFonts w:ascii="仿宋" w:hAnsi="仿宋" w:eastAsia="仿宋" w:cs="仿宋"/>
          <w:sz w:val="32"/>
          <w:szCs w:val="32"/>
        </w:rPr>
        <w:t>的</w:t>
      </w:r>
      <w:r>
        <w:rPr>
          <w:rFonts w:hint="eastAsia" w:ascii="仿宋" w:hAnsi="仿宋" w:eastAsia="仿宋" w:cs="仿宋"/>
          <w:sz w:val="32"/>
          <w:szCs w:val="32"/>
        </w:rPr>
        <w:t>转化</w:t>
      </w:r>
      <w:r>
        <w:rPr>
          <w:rFonts w:ascii="仿宋" w:hAnsi="仿宋" w:eastAsia="仿宋" w:cs="仿宋"/>
          <w:sz w:val="32"/>
          <w:szCs w:val="32"/>
        </w:rPr>
        <w:t>，</w:t>
      </w:r>
      <w:r>
        <w:rPr>
          <w:rFonts w:hint="eastAsia" w:ascii="仿宋" w:hAnsi="仿宋" w:eastAsia="仿宋" w:cs="仿宋"/>
          <w:sz w:val="32"/>
          <w:szCs w:val="32"/>
        </w:rPr>
        <w:t>促进成果</w:t>
      </w:r>
      <w:r>
        <w:rPr>
          <w:rFonts w:ascii="仿宋" w:hAnsi="仿宋" w:eastAsia="仿宋" w:cs="仿宋"/>
          <w:sz w:val="32"/>
          <w:szCs w:val="32"/>
        </w:rPr>
        <w:t>临床</w:t>
      </w:r>
      <w:r>
        <w:rPr>
          <w:rFonts w:hint="eastAsia" w:ascii="仿宋" w:hAnsi="仿宋" w:eastAsia="仿宋" w:cs="仿宋"/>
          <w:sz w:val="32"/>
          <w:szCs w:val="32"/>
        </w:rPr>
        <w:t>应用</w:t>
      </w:r>
      <w:r>
        <w:rPr>
          <w:rFonts w:ascii="仿宋" w:hAnsi="仿宋" w:eastAsia="仿宋" w:cs="仿宋"/>
          <w:sz w:val="32"/>
          <w:szCs w:val="32"/>
        </w:rPr>
        <w:t>的实施</w:t>
      </w:r>
      <w:r>
        <w:rPr>
          <w:rFonts w:hint="eastAsia" w:ascii="仿宋" w:hAnsi="仿宋" w:eastAsia="仿宋" w:cs="仿宋"/>
          <w:sz w:val="32"/>
          <w:szCs w:val="32"/>
        </w:rPr>
        <w:t>。</w:t>
      </w:r>
      <w:r>
        <w:rPr>
          <w:rFonts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⑹姓名</w:t>
      </w:r>
      <w:r>
        <w:rPr>
          <w:rFonts w:ascii="仿宋" w:hAnsi="仿宋" w:eastAsia="仿宋" w:cs="仿宋"/>
          <w:sz w:val="32"/>
          <w:szCs w:val="32"/>
        </w:rPr>
        <w:t>：</w:t>
      </w:r>
      <w:r>
        <w:rPr>
          <w:rFonts w:hint="eastAsia" w:ascii="仿宋" w:hAnsi="仿宋" w:eastAsia="仿宋" w:cs="仿宋"/>
          <w:sz w:val="32"/>
          <w:szCs w:val="32"/>
        </w:rPr>
        <w:t>谢少利，</w:t>
      </w:r>
      <w:r>
        <w:rPr>
          <w:rFonts w:ascii="仿宋" w:hAnsi="仿宋" w:eastAsia="仿宋" w:cs="仿宋"/>
          <w:sz w:val="32"/>
          <w:szCs w:val="32"/>
        </w:rPr>
        <w:t>排名：</w:t>
      </w:r>
      <w:r>
        <w:rPr>
          <w:rFonts w:hint="eastAsia" w:ascii="仿宋" w:hAnsi="仿宋" w:eastAsia="仿宋" w:cs="仿宋"/>
          <w:sz w:val="32"/>
          <w:szCs w:val="32"/>
        </w:rPr>
        <w:t>6，</w:t>
      </w:r>
      <w:r>
        <w:rPr>
          <w:rFonts w:ascii="仿宋" w:hAnsi="仿宋" w:eastAsia="仿宋" w:cs="仿宋"/>
          <w:sz w:val="32"/>
          <w:szCs w:val="32"/>
        </w:rPr>
        <w:t>职称：主治医师，行政职务：无。工作</w:t>
      </w:r>
      <w:r>
        <w:rPr>
          <w:rFonts w:hint="eastAsia" w:ascii="仿宋" w:hAnsi="仿宋" w:eastAsia="仿宋" w:cs="仿宋"/>
          <w:sz w:val="32"/>
          <w:szCs w:val="32"/>
        </w:rPr>
        <w:t>单位</w:t>
      </w:r>
      <w:r>
        <w:rPr>
          <w:rFonts w:ascii="仿宋" w:hAnsi="仿宋" w:eastAsia="仿宋" w:cs="仿宋"/>
          <w:sz w:val="32"/>
          <w:szCs w:val="32"/>
        </w:rPr>
        <w:t>：川北医学院附属医院，对项目的贡献：</w:t>
      </w:r>
      <w:r>
        <w:rPr>
          <w:rFonts w:hint="eastAsia" w:ascii="仿宋" w:hAnsi="仿宋" w:eastAsia="仿宋" w:cs="仿宋"/>
          <w:sz w:val="32"/>
          <w:szCs w:val="32"/>
        </w:rPr>
        <w:t>分析锁骨上淋巴结转移患者手术清扫联合放疗与单纯放疗的预后差异，并分析得出从手术清扫获益的亚组人群。参与多中心临床试验，进行临床数据研究，通过统计学方法构建数据模型。</w:t>
      </w:r>
    </w:p>
    <w:p>
      <w:pPr>
        <w:spacing w:line="600" w:lineRule="atLeast"/>
        <w:rPr>
          <w:rFonts w:ascii="仿宋" w:hAnsi="仿宋" w:eastAsia="仿宋" w:cs="仿宋"/>
          <w:sz w:val="32"/>
          <w:szCs w:val="32"/>
        </w:rPr>
      </w:pPr>
      <w:r>
        <w:rPr>
          <w:rFonts w:hint="eastAsia" w:ascii="仿宋" w:hAnsi="仿宋" w:eastAsia="仿宋" w:cs="仿宋"/>
          <w:sz w:val="32"/>
          <w:szCs w:val="32"/>
        </w:rPr>
        <w:t>⑺姓名</w:t>
      </w:r>
      <w:r>
        <w:rPr>
          <w:rFonts w:ascii="仿宋" w:hAnsi="仿宋" w:eastAsia="仿宋" w:cs="仿宋"/>
          <w:sz w:val="32"/>
          <w:szCs w:val="32"/>
        </w:rPr>
        <w:t>：刘家</w:t>
      </w:r>
      <w:r>
        <w:rPr>
          <w:rFonts w:hint="eastAsia" w:ascii="仿宋" w:hAnsi="仿宋" w:eastAsia="仿宋" w:cs="仿宋"/>
          <w:sz w:val="32"/>
          <w:szCs w:val="32"/>
        </w:rPr>
        <w:t>友</w:t>
      </w:r>
      <w:r>
        <w:rPr>
          <w:rFonts w:ascii="仿宋" w:hAnsi="仿宋" w:eastAsia="仿宋" w:cs="仿宋"/>
          <w:sz w:val="32"/>
          <w:szCs w:val="32"/>
        </w:rPr>
        <w:t>，排名：</w:t>
      </w:r>
      <w:r>
        <w:rPr>
          <w:rFonts w:hint="eastAsia" w:ascii="仿宋" w:hAnsi="仿宋" w:eastAsia="仿宋" w:cs="仿宋"/>
          <w:sz w:val="32"/>
          <w:szCs w:val="32"/>
        </w:rPr>
        <w:t>7，</w:t>
      </w:r>
      <w:r>
        <w:rPr>
          <w:rFonts w:ascii="仿宋" w:hAnsi="仿宋" w:eastAsia="仿宋" w:cs="仿宋"/>
          <w:sz w:val="32"/>
          <w:szCs w:val="32"/>
        </w:rPr>
        <w:t>职称：讲师，行政职务：无。工作</w:t>
      </w:r>
      <w:r>
        <w:rPr>
          <w:rFonts w:hint="eastAsia" w:ascii="仿宋" w:hAnsi="仿宋" w:eastAsia="仿宋" w:cs="仿宋"/>
          <w:sz w:val="32"/>
          <w:szCs w:val="32"/>
        </w:rPr>
        <w:t>单位</w:t>
      </w:r>
      <w:r>
        <w:rPr>
          <w:rFonts w:ascii="仿宋" w:hAnsi="仿宋" w:eastAsia="仿宋" w:cs="仿宋"/>
          <w:sz w:val="32"/>
          <w:szCs w:val="32"/>
        </w:rPr>
        <w:t>：川北医学院</w:t>
      </w:r>
      <w:r>
        <w:rPr>
          <w:rFonts w:hint="eastAsia" w:ascii="仿宋" w:hAnsi="仿宋" w:eastAsia="仿宋" w:cs="仿宋"/>
          <w:sz w:val="32"/>
          <w:szCs w:val="32"/>
        </w:rPr>
        <w:t>，</w:t>
      </w:r>
      <w:r>
        <w:rPr>
          <w:rFonts w:ascii="仿宋" w:hAnsi="仿宋" w:eastAsia="仿宋" w:cs="仿宋"/>
          <w:sz w:val="32"/>
          <w:szCs w:val="32"/>
        </w:rPr>
        <w:t>对项目的贡献：</w:t>
      </w:r>
      <w:r>
        <w:rPr>
          <w:rFonts w:hint="eastAsia" w:ascii="仿宋" w:hAnsi="仿宋" w:eastAsia="仿宋" w:cs="仿宋"/>
          <w:sz w:val="32"/>
          <w:szCs w:val="32"/>
        </w:rPr>
        <w:t>通过差异蛋白质组学、转录组测序、生物信息学方法筛选靶标</w:t>
      </w:r>
      <w:r>
        <w:rPr>
          <w:rFonts w:ascii="仿宋" w:hAnsi="仿宋" w:eastAsia="仿宋" w:cs="仿宋"/>
          <w:sz w:val="32"/>
          <w:szCs w:val="32"/>
        </w:rPr>
        <w:t>基因，</w:t>
      </w:r>
      <w:r>
        <w:rPr>
          <w:rFonts w:hint="eastAsia" w:ascii="仿宋" w:hAnsi="仿宋" w:eastAsia="仿宋" w:cs="仿宋"/>
          <w:sz w:val="32"/>
          <w:szCs w:val="32"/>
        </w:rPr>
        <w:t>并通过细胞学和动物学模型证实了该系列差异基因的生物学功能。参与本项目包括对外交流和组织</w:t>
      </w:r>
      <w:r>
        <w:rPr>
          <w:rFonts w:ascii="仿宋" w:hAnsi="仿宋" w:eastAsia="仿宋" w:cs="仿宋"/>
          <w:sz w:val="32"/>
          <w:szCs w:val="32"/>
        </w:rPr>
        <w:t>实施</w:t>
      </w:r>
      <w:r>
        <w:rPr>
          <w:rFonts w:hint="eastAsia" w:ascii="仿宋" w:hAnsi="仿宋" w:eastAsia="仿宋" w:cs="仿宋"/>
          <w:sz w:val="32"/>
          <w:szCs w:val="32"/>
        </w:rPr>
        <w:t>等部分工作。</w:t>
      </w:r>
    </w:p>
    <w:p>
      <w:pPr>
        <w:rPr>
          <w:rFonts w:hint="eastAsia" w:ascii="仿宋" w:hAnsi="仿宋" w:eastAsia="仿宋" w:cs="仿宋"/>
          <w:sz w:val="32"/>
          <w:szCs w:val="32"/>
        </w:rPr>
      </w:pPr>
      <w:r>
        <w:rPr>
          <w:rFonts w:hint="eastAsia" w:ascii="仿宋" w:hAnsi="仿宋" w:eastAsia="仿宋" w:cs="仿宋"/>
          <w:sz w:val="32"/>
          <w:szCs w:val="32"/>
        </w:rPr>
        <w:t>⑻姓名</w:t>
      </w:r>
      <w:r>
        <w:rPr>
          <w:rFonts w:ascii="仿宋" w:hAnsi="仿宋" w:eastAsia="仿宋" w:cs="仿宋"/>
          <w:sz w:val="32"/>
          <w:szCs w:val="32"/>
        </w:rPr>
        <w:t>：蒲卢兰，排名</w:t>
      </w:r>
      <w:r>
        <w:rPr>
          <w:rFonts w:hint="eastAsia" w:ascii="仿宋" w:hAnsi="仿宋" w:eastAsia="仿宋" w:cs="仿宋"/>
          <w:sz w:val="32"/>
          <w:szCs w:val="32"/>
        </w:rPr>
        <w:t>8，</w:t>
      </w:r>
      <w:r>
        <w:rPr>
          <w:rFonts w:ascii="仿宋" w:hAnsi="仿宋" w:eastAsia="仿宋" w:cs="仿宋"/>
          <w:sz w:val="32"/>
          <w:szCs w:val="32"/>
        </w:rPr>
        <w:t>职称：无，</w:t>
      </w:r>
      <w:r>
        <w:rPr>
          <w:rFonts w:hint="eastAsia" w:ascii="仿宋" w:hAnsi="仿宋" w:eastAsia="仿宋" w:cs="仿宋"/>
          <w:sz w:val="32"/>
          <w:szCs w:val="32"/>
        </w:rPr>
        <w:t>行政</w:t>
      </w:r>
      <w:r>
        <w:rPr>
          <w:rFonts w:ascii="仿宋" w:hAnsi="仿宋" w:eastAsia="仿宋" w:cs="仿宋"/>
          <w:sz w:val="32"/>
          <w:szCs w:val="32"/>
        </w:rPr>
        <w:t>职务：无。工作</w:t>
      </w:r>
      <w:r>
        <w:rPr>
          <w:rFonts w:hint="eastAsia" w:ascii="仿宋" w:hAnsi="仿宋" w:eastAsia="仿宋" w:cs="仿宋"/>
          <w:sz w:val="32"/>
          <w:szCs w:val="32"/>
        </w:rPr>
        <w:t>单位</w:t>
      </w:r>
      <w:r>
        <w:rPr>
          <w:rFonts w:ascii="仿宋" w:hAnsi="仿宋" w:eastAsia="仿宋" w:cs="仿宋"/>
          <w:sz w:val="32"/>
          <w:szCs w:val="32"/>
        </w:rPr>
        <w:t>：川北医学院，对项目的贡献：</w:t>
      </w:r>
      <w:r>
        <w:rPr>
          <w:rFonts w:hint="eastAsia" w:ascii="仿宋" w:hAnsi="仿宋" w:eastAsia="仿宋" w:cs="仿宋"/>
          <w:sz w:val="32"/>
          <w:szCs w:val="32"/>
        </w:rPr>
        <w:t>参与本项目的研究及实施的部分工作。协助完成细胞学和动物学模型证实差异基因生物学功能的研究工作。</w:t>
      </w:r>
    </w:p>
    <w:p>
      <w:pPr>
        <w:numPr>
          <w:ilvl w:val="0"/>
          <w:numId w:val="1"/>
        </w:numPr>
        <w:rPr>
          <w:rFonts w:ascii="黑体" w:hAnsi="黑体" w:eastAsia="黑体" w:cs="黑体"/>
          <w:b/>
          <w:bCs/>
          <w:sz w:val="32"/>
          <w:szCs w:val="32"/>
        </w:rPr>
      </w:pPr>
      <w:r>
        <w:rPr>
          <w:rFonts w:hint="eastAsia" w:ascii="黑体" w:hAnsi="黑体" w:eastAsia="黑体" w:cs="黑体"/>
          <w:b/>
          <w:bCs/>
          <w:sz w:val="32"/>
          <w:szCs w:val="32"/>
        </w:rPr>
        <w:t>完成单位情况</w:t>
      </w:r>
    </w:p>
    <w:p>
      <w:pPr>
        <w:rPr>
          <w:rFonts w:ascii="仿宋" w:hAnsi="仿宋" w:eastAsia="仿宋" w:cs="仿宋"/>
          <w:sz w:val="32"/>
          <w:szCs w:val="32"/>
        </w:rPr>
      </w:pPr>
      <w:r>
        <w:rPr>
          <w:rFonts w:hint="eastAsia" w:ascii="仿宋" w:hAnsi="仿宋" w:eastAsia="仿宋" w:cs="仿宋"/>
          <w:sz w:val="32"/>
          <w:szCs w:val="32"/>
        </w:rPr>
        <w:t>单位名称、排名、对本项目贡献</w:t>
      </w:r>
    </w:p>
    <w:p>
      <w:pPr>
        <w:tabs>
          <w:tab w:val="left" w:pos="726"/>
        </w:tabs>
        <w:ind w:firstLine="640" w:firstLineChars="200"/>
        <w:rPr>
          <w:rFonts w:ascii="仿宋" w:hAnsi="仿宋" w:eastAsia="仿宋" w:cs="仿宋"/>
          <w:sz w:val="32"/>
          <w:szCs w:val="32"/>
        </w:rPr>
      </w:pPr>
      <w:r>
        <w:rPr>
          <w:rFonts w:ascii="仿宋" w:hAnsi="仿宋" w:eastAsia="仿宋" w:cs="仿宋"/>
          <w:sz w:val="32"/>
          <w:szCs w:val="32"/>
        </w:rPr>
        <w:t>⑴</w:t>
      </w:r>
      <w:r>
        <w:rPr>
          <w:rFonts w:hint="eastAsia" w:ascii="仿宋" w:hAnsi="仿宋" w:eastAsia="仿宋" w:cs="仿宋"/>
          <w:sz w:val="32"/>
          <w:szCs w:val="32"/>
        </w:rPr>
        <w:t>单位</w:t>
      </w:r>
      <w:r>
        <w:rPr>
          <w:rFonts w:ascii="仿宋" w:hAnsi="仿宋" w:eastAsia="仿宋" w:cs="仿宋"/>
          <w:sz w:val="32"/>
          <w:szCs w:val="32"/>
        </w:rPr>
        <w:t>名称</w:t>
      </w:r>
      <w:r>
        <w:rPr>
          <w:rFonts w:hint="eastAsia" w:ascii="仿宋" w:hAnsi="仿宋" w:eastAsia="仿宋" w:cs="仿宋"/>
          <w:sz w:val="32"/>
          <w:szCs w:val="32"/>
        </w:rPr>
        <w:t>：</w:t>
      </w:r>
      <w:r>
        <w:rPr>
          <w:rFonts w:ascii="仿宋" w:hAnsi="仿宋" w:eastAsia="仿宋" w:cs="仿宋"/>
          <w:sz w:val="32"/>
          <w:szCs w:val="32"/>
        </w:rPr>
        <w:t>川北医学院附属医院</w:t>
      </w:r>
      <w:r>
        <w:rPr>
          <w:rFonts w:hint="eastAsia" w:ascii="仿宋" w:hAnsi="仿宋" w:eastAsia="仿宋" w:cs="仿宋"/>
          <w:sz w:val="32"/>
          <w:szCs w:val="32"/>
        </w:rPr>
        <w:t>，</w:t>
      </w:r>
      <w:r>
        <w:rPr>
          <w:rFonts w:ascii="仿宋" w:hAnsi="仿宋" w:eastAsia="仿宋" w:cs="仿宋"/>
          <w:sz w:val="32"/>
          <w:szCs w:val="32"/>
        </w:rPr>
        <w:t>排名</w:t>
      </w:r>
      <w:r>
        <w:rPr>
          <w:rFonts w:hint="eastAsia" w:ascii="仿宋" w:hAnsi="仿宋" w:eastAsia="仿宋" w:cs="仿宋"/>
          <w:sz w:val="32"/>
          <w:szCs w:val="32"/>
        </w:rPr>
        <w:t>：1，对</w:t>
      </w:r>
      <w:r>
        <w:rPr>
          <w:rFonts w:ascii="仿宋" w:hAnsi="仿宋" w:eastAsia="仿宋" w:cs="仿宋"/>
          <w:sz w:val="32"/>
          <w:szCs w:val="32"/>
        </w:rPr>
        <w:t>本项目的贡献</w:t>
      </w:r>
      <w:r>
        <w:rPr>
          <w:rFonts w:hint="eastAsia" w:ascii="仿宋" w:hAnsi="仿宋" w:eastAsia="仿宋" w:cs="仿宋"/>
          <w:sz w:val="32"/>
          <w:szCs w:val="32"/>
        </w:rPr>
        <w:t>：</w:t>
      </w:r>
      <w:r>
        <w:rPr>
          <w:rFonts w:ascii="仿宋" w:hAnsi="仿宋" w:eastAsia="仿宋" w:cs="仿宋"/>
          <w:sz w:val="32"/>
          <w:szCs w:val="32"/>
        </w:rPr>
        <w:t>本单位</w:t>
      </w:r>
      <w:r>
        <w:rPr>
          <w:rFonts w:hint="eastAsia" w:ascii="仿宋" w:hAnsi="仿宋" w:eastAsia="仿宋" w:cs="仿宋"/>
          <w:sz w:val="32"/>
          <w:szCs w:val="32"/>
        </w:rPr>
        <w:t>在</w:t>
      </w:r>
      <w:r>
        <w:rPr>
          <w:rFonts w:ascii="仿宋" w:hAnsi="仿宋" w:eastAsia="仿宋" w:cs="仿宋"/>
          <w:sz w:val="32"/>
          <w:szCs w:val="32"/>
        </w:rPr>
        <w:t>本项目中</w:t>
      </w:r>
      <w:r>
        <w:rPr>
          <w:rFonts w:hint="eastAsia" w:ascii="仿宋" w:hAnsi="仿宋" w:eastAsia="仿宋" w:cs="仿宋"/>
          <w:sz w:val="32"/>
          <w:szCs w:val="32"/>
        </w:rPr>
        <w:t>完成了对乳腺癌患者癌组织与癌旁组织的差异蛋白质组学筛选和对候选蛋白的功能验证及机制探索。完成了包括F</w:t>
      </w:r>
      <w:r>
        <w:rPr>
          <w:rFonts w:ascii="仿宋" w:hAnsi="仿宋" w:eastAsia="仿宋" w:cs="仿宋"/>
          <w:sz w:val="32"/>
          <w:szCs w:val="32"/>
        </w:rPr>
        <w:t>AT4</w:t>
      </w:r>
      <w:r>
        <w:rPr>
          <w:rFonts w:hint="eastAsia" w:ascii="仿宋" w:hAnsi="仿宋" w:eastAsia="仿宋" w:cs="仿宋"/>
          <w:sz w:val="32"/>
          <w:szCs w:val="32"/>
        </w:rPr>
        <w:t>、U</w:t>
      </w:r>
      <w:r>
        <w:rPr>
          <w:rFonts w:ascii="仿宋" w:hAnsi="仿宋" w:eastAsia="仿宋" w:cs="仿宋"/>
          <w:sz w:val="32"/>
          <w:szCs w:val="32"/>
        </w:rPr>
        <w:t>BE3A</w:t>
      </w:r>
      <w:r>
        <w:rPr>
          <w:rFonts w:hint="eastAsia" w:ascii="仿宋" w:hAnsi="仿宋" w:eastAsia="仿宋" w:cs="仿宋"/>
          <w:sz w:val="32"/>
          <w:szCs w:val="32"/>
        </w:rPr>
        <w:t>、D</w:t>
      </w:r>
      <w:r>
        <w:rPr>
          <w:rFonts w:ascii="仿宋" w:hAnsi="仿宋" w:eastAsia="仿宋" w:cs="仿宋"/>
          <w:sz w:val="32"/>
          <w:szCs w:val="32"/>
        </w:rPr>
        <w:t>NAPTP3</w:t>
      </w:r>
      <w:r>
        <w:rPr>
          <w:rFonts w:hint="eastAsia" w:ascii="仿宋" w:hAnsi="仿宋" w:eastAsia="仿宋" w:cs="仿宋"/>
          <w:sz w:val="32"/>
          <w:szCs w:val="32"/>
        </w:rPr>
        <w:t>、A</w:t>
      </w:r>
      <w:r>
        <w:rPr>
          <w:rFonts w:ascii="仿宋" w:hAnsi="仿宋" w:eastAsia="仿宋" w:cs="仿宋"/>
          <w:sz w:val="32"/>
          <w:szCs w:val="32"/>
        </w:rPr>
        <w:t>nnexin A2</w:t>
      </w:r>
      <w:r>
        <w:rPr>
          <w:rFonts w:hint="eastAsia" w:ascii="仿宋" w:hAnsi="仿宋" w:eastAsia="仿宋" w:cs="仿宋"/>
          <w:sz w:val="32"/>
          <w:szCs w:val="32"/>
        </w:rPr>
        <w:t>等多个差异蛋白临床价值的分析，并进一步在细胞和动物模型中证实该结果的准确性，为乳腺癌的早期筛选与预后判断提供了有力证据。证实了相关靶标通过Hippo信号通路、</w:t>
      </w:r>
      <w:r>
        <w:rPr>
          <w:rFonts w:ascii="仿宋" w:hAnsi="仿宋" w:eastAsia="仿宋" w:cs="仿宋"/>
          <w:sz w:val="32"/>
          <w:szCs w:val="32"/>
        </w:rPr>
        <w:t>TGF-β1/Smad/snail</w:t>
      </w:r>
      <w:r>
        <w:rPr>
          <w:rFonts w:hint="eastAsia" w:ascii="仿宋" w:hAnsi="仿宋" w:eastAsia="仿宋" w:cs="仿宋"/>
          <w:sz w:val="32"/>
          <w:szCs w:val="32"/>
        </w:rPr>
        <w:t>信号通路、诱导自噬等生物学效应调节乳腺癌细胞的侵袭转移，为乳腺癌的发病机制与侵袭原因提供了重要依据；在临床研究中进行新辅助化疗对局部晚期乳腺癌的疗效分析，证实了局部晚期乳腺癌改善生存的有效手段，为新辅助化疗方案的选择提供重要理论依据；系列研究证实槐尔多糖通过D</w:t>
      </w:r>
      <w:r>
        <w:rPr>
          <w:rFonts w:ascii="仿宋" w:hAnsi="仿宋" w:eastAsia="仿宋" w:cs="仿宋"/>
          <w:sz w:val="32"/>
          <w:szCs w:val="32"/>
        </w:rPr>
        <w:t>NAPTP3-FN1</w:t>
      </w:r>
      <w:r>
        <w:rPr>
          <w:rFonts w:hint="eastAsia" w:ascii="仿宋" w:hAnsi="仿宋" w:eastAsia="仿宋" w:cs="仿宋"/>
          <w:sz w:val="32"/>
          <w:szCs w:val="32"/>
        </w:rPr>
        <w:t>诱导自噬，提高三阴性乳腺癌的远期预后，并参与多中心的真实世界研究中证实槐尔多糖改善乳腺癌预后的临床意义。通过以上工作，推进乳腺癌基础与临床研究快速转化，促进了本项目在乳腺活检等方面的专利申请以及相关临床与基础论文的发表，极大提高了川东北区域乳腺癌的科研及临床诊疗水平，使川东北区域乳腺癌多中心联合诊疗及科研分析合作跃升了一个新台阶。特别为发现三阴性乳腺癌早期诊断靶标，及多靶点联合诊断早期三阴性乳腺癌奠定良好基础，有重大的经济潜能和社会效益。</w:t>
      </w:r>
    </w:p>
    <w:p>
      <w:pPr>
        <w:tabs>
          <w:tab w:val="left" w:pos="726"/>
        </w:tabs>
        <w:ind w:firstLine="640" w:firstLineChars="200"/>
        <w:rPr>
          <w:rFonts w:ascii="仿宋" w:hAnsi="仿宋" w:eastAsia="仿宋" w:cs="仿宋"/>
          <w:sz w:val="32"/>
          <w:szCs w:val="32"/>
        </w:rPr>
      </w:pPr>
      <w:r>
        <w:rPr>
          <w:rFonts w:ascii="仿宋" w:hAnsi="仿宋" w:eastAsia="仿宋" w:cs="仿宋"/>
          <w:sz w:val="32"/>
          <w:szCs w:val="32"/>
        </w:rPr>
        <w:t>⑵</w:t>
      </w:r>
      <w:r>
        <w:rPr>
          <w:rFonts w:hint="eastAsia" w:ascii="仿宋" w:hAnsi="仿宋" w:eastAsia="仿宋" w:cs="仿宋"/>
          <w:sz w:val="32"/>
          <w:szCs w:val="32"/>
        </w:rPr>
        <w:t>单位</w:t>
      </w:r>
      <w:r>
        <w:rPr>
          <w:rFonts w:ascii="仿宋" w:hAnsi="仿宋" w:eastAsia="仿宋" w:cs="仿宋"/>
          <w:sz w:val="32"/>
          <w:szCs w:val="32"/>
        </w:rPr>
        <w:t>名称</w:t>
      </w:r>
      <w:r>
        <w:rPr>
          <w:rFonts w:hint="eastAsia" w:ascii="仿宋" w:hAnsi="仿宋" w:eastAsia="仿宋" w:cs="仿宋"/>
          <w:sz w:val="32"/>
          <w:szCs w:val="32"/>
        </w:rPr>
        <w:t>：遂宁市</w:t>
      </w:r>
      <w:r>
        <w:rPr>
          <w:rFonts w:ascii="仿宋" w:hAnsi="仿宋" w:eastAsia="仿宋" w:cs="仿宋"/>
          <w:sz w:val="32"/>
          <w:szCs w:val="32"/>
        </w:rPr>
        <w:t>中心医院</w:t>
      </w:r>
      <w:r>
        <w:rPr>
          <w:rFonts w:hint="eastAsia" w:ascii="仿宋" w:hAnsi="仿宋" w:eastAsia="仿宋" w:cs="仿宋"/>
          <w:sz w:val="32"/>
          <w:szCs w:val="32"/>
        </w:rPr>
        <w:t>，</w:t>
      </w:r>
      <w:r>
        <w:rPr>
          <w:rFonts w:ascii="仿宋" w:hAnsi="仿宋" w:eastAsia="仿宋" w:cs="仿宋"/>
          <w:sz w:val="32"/>
          <w:szCs w:val="32"/>
        </w:rPr>
        <w:t>排名</w:t>
      </w:r>
      <w:r>
        <w:rPr>
          <w:rFonts w:hint="eastAsia" w:ascii="仿宋" w:hAnsi="仿宋" w:eastAsia="仿宋" w:cs="仿宋"/>
          <w:sz w:val="32"/>
          <w:szCs w:val="32"/>
        </w:rPr>
        <w:t>：2，对</w:t>
      </w:r>
      <w:r>
        <w:rPr>
          <w:rFonts w:ascii="仿宋" w:hAnsi="仿宋" w:eastAsia="仿宋" w:cs="仿宋"/>
          <w:sz w:val="32"/>
          <w:szCs w:val="32"/>
        </w:rPr>
        <w:t>本项目的贡献</w:t>
      </w:r>
      <w:r>
        <w:rPr>
          <w:rFonts w:hint="eastAsia" w:ascii="仿宋" w:hAnsi="仿宋" w:eastAsia="仿宋" w:cs="仿宋"/>
          <w:sz w:val="32"/>
          <w:szCs w:val="32"/>
        </w:rPr>
        <w:t>：</w:t>
      </w:r>
      <w:r>
        <w:rPr>
          <w:rFonts w:ascii="仿宋" w:hAnsi="仿宋" w:eastAsia="仿宋" w:cs="仿宋"/>
          <w:sz w:val="32"/>
          <w:szCs w:val="32"/>
        </w:rPr>
        <w:t>本单位</w:t>
      </w:r>
      <w:r>
        <w:rPr>
          <w:rFonts w:hint="eastAsia" w:ascii="仿宋" w:hAnsi="仿宋" w:eastAsia="仿宋" w:cs="仿宋"/>
          <w:sz w:val="32"/>
          <w:szCs w:val="32"/>
        </w:rPr>
        <w:t>参加此课题后，积极组织相关科室人员对乳腺癌临床热点问题进行调研和谈论，通过临床大数据研究评估了腋窝淋巴结转移N</w:t>
      </w:r>
      <w:r>
        <w:rPr>
          <w:rFonts w:ascii="仿宋" w:hAnsi="仿宋" w:eastAsia="仿宋" w:cs="仿宋"/>
          <w:sz w:val="32"/>
          <w:szCs w:val="32"/>
        </w:rPr>
        <w:t>1</w:t>
      </w:r>
      <w:r>
        <w:rPr>
          <w:rFonts w:hint="eastAsia" w:ascii="仿宋" w:hAnsi="仿宋" w:eastAsia="仿宋" w:cs="仿宋"/>
          <w:sz w:val="32"/>
          <w:szCs w:val="32"/>
        </w:rPr>
        <w:t>期患者放疗干预的合理性，提出腋窝淋巴结1枚转移时豁免放疗的可能性；通过真实世界回顾性研究分析了锁骨上淋巴结转移患者手术清扫联合放疗与单纯放疗的预后差异，并分析得出从手术清扫获益的亚组人群，对临床有重要指导意义。并参与多中心研究槐尔多糖改善三阴性乳腺癌患者的预后研究。对三阴性乳腺癌的精准治疗有着提供了重要的理论依据和证据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26CA2"/>
    <w:multiLevelType w:val="singleLevel"/>
    <w:tmpl w:val="36426C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F1"/>
    <w:rsid w:val="00017EFF"/>
    <w:rsid w:val="00042FC1"/>
    <w:rsid w:val="000702E6"/>
    <w:rsid w:val="000E60A2"/>
    <w:rsid w:val="0010114D"/>
    <w:rsid w:val="001769C3"/>
    <w:rsid w:val="001E3721"/>
    <w:rsid w:val="00204448"/>
    <w:rsid w:val="002B6815"/>
    <w:rsid w:val="0031529C"/>
    <w:rsid w:val="0039706F"/>
    <w:rsid w:val="003B600F"/>
    <w:rsid w:val="003C4C30"/>
    <w:rsid w:val="003F4E62"/>
    <w:rsid w:val="004266A2"/>
    <w:rsid w:val="0046687C"/>
    <w:rsid w:val="00476CC5"/>
    <w:rsid w:val="004D39C4"/>
    <w:rsid w:val="004F53A3"/>
    <w:rsid w:val="005729A5"/>
    <w:rsid w:val="00577591"/>
    <w:rsid w:val="005926F1"/>
    <w:rsid w:val="006354CC"/>
    <w:rsid w:val="00662EE8"/>
    <w:rsid w:val="0069157E"/>
    <w:rsid w:val="006C59AA"/>
    <w:rsid w:val="006E2319"/>
    <w:rsid w:val="006F37A2"/>
    <w:rsid w:val="007270E9"/>
    <w:rsid w:val="0076181F"/>
    <w:rsid w:val="007A2F09"/>
    <w:rsid w:val="007A5A86"/>
    <w:rsid w:val="007B7AA7"/>
    <w:rsid w:val="007C317C"/>
    <w:rsid w:val="00800A6C"/>
    <w:rsid w:val="0082307C"/>
    <w:rsid w:val="00926050"/>
    <w:rsid w:val="00933C42"/>
    <w:rsid w:val="00944518"/>
    <w:rsid w:val="00954056"/>
    <w:rsid w:val="00996F0A"/>
    <w:rsid w:val="00A076DD"/>
    <w:rsid w:val="00A21024"/>
    <w:rsid w:val="00AD212B"/>
    <w:rsid w:val="00AD404A"/>
    <w:rsid w:val="00B156D6"/>
    <w:rsid w:val="00B50192"/>
    <w:rsid w:val="00B96FD8"/>
    <w:rsid w:val="00BA311B"/>
    <w:rsid w:val="00BB3198"/>
    <w:rsid w:val="00C15178"/>
    <w:rsid w:val="00C26AC0"/>
    <w:rsid w:val="00C82AB7"/>
    <w:rsid w:val="00CE24C7"/>
    <w:rsid w:val="00D214B0"/>
    <w:rsid w:val="00E17172"/>
    <w:rsid w:val="00E33C85"/>
    <w:rsid w:val="00E72634"/>
    <w:rsid w:val="00E84BDE"/>
    <w:rsid w:val="00E931C5"/>
    <w:rsid w:val="00EA0928"/>
    <w:rsid w:val="00EF3E91"/>
    <w:rsid w:val="00F2757E"/>
    <w:rsid w:val="00F46315"/>
    <w:rsid w:val="00FC5652"/>
    <w:rsid w:val="00FF4121"/>
    <w:rsid w:val="319B7EFD"/>
    <w:rsid w:val="483D18DC"/>
    <w:rsid w:val="4AA90D4A"/>
    <w:rsid w:val="52A658FF"/>
    <w:rsid w:val="7C9E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hAnsi="Times New Roman" w:eastAsia="宋体" w:cs="Times New Roman"/>
      <w:sz w:val="24"/>
      <w:szCs w:val="20"/>
      <w:lang w:val="zh-CN" w:eastAsia="zh-CN"/>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0"/>
    <w:rPr>
      <w:kern w:val="2"/>
      <w:sz w:val="18"/>
      <w:szCs w:val="18"/>
    </w:rPr>
  </w:style>
  <w:style w:type="paragraph" w:styleId="10">
    <w:name w:val="List Paragraph"/>
    <w:basedOn w:val="1"/>
    <w:uiPriority w:val="99"/>
    <w:pPr>
      <w:ind w:firstLine="420" w:firstLineChars="200"/>
    </w:pPr>
  </w:style>
  <w:style w:type="character" w:customStyle="1" w:styleId="11">
    <w:name w:val="纯文本 字符"/>
    <w:basedOn w:val="7"/>
    <w:link w:val="2"/>
    <w:qFormat/>
    <w:uiPriority w:val="0"/>
    <w:rPr>
      <w:rFonts w:ascii="仿宋_GB2312" w:hAnsi="Times New Roman" w:eastAsia="宋体" w:cs="Times New Roman"/>
      <w:kern w:val="2"/>
      <w:sz w:val="2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1316</Words>
  <Characters>7507</Characters>
  <Lines>62</Lines>
  <Paragraphs>17</Paragraphs>
  <TotalTime>42</TotalTime>
  <ScaleCrop>false</ScaleCrop>
  <LinksUpToDate>false</LinksUpToDate>
  <CharactersWithSpaces>8806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2021-05-12T02:16:00Z</dcterms:created>
  <dc:creator>Administrator</dc:creator>
  <cp:lastModifiedBy>逆光，启程</cp:lastModifiedBy>
  <dcterms:modified xsi:type="dcterms:W3CDTF">2021-05-19T07:10:14Z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E2942078BB8E425D8D5F4D83AC390626</vt:lpwstr>
  </property>
</Properties>
</file>