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b/>
          <w:bCs/>
          <w:spacing w:val="-14"/>
          <w:w w:val="85"/>
          <w:sz w:val="44"/>
          <w:szCs w:val="44"/>
        </w:rPr>
      </w:pPr>
      <w:r>
        <w:rPr>
          <w:rFonts w:ascii="Times New Roman" w:hAnsi="Times New Roman" w:eastAsia="方正小标宋简体" w:cs="Times New Roman"/>
          <w:b/>
          <w:bCs/>
          <w:spacing w:val="-14"/>
          <w:w w:val="85"/>
          <w:sz w:val="44"/>
          <w:szCs w:val="44"/>
        </w:rPr>
        <w:t>南充市2022年度四川省科学技术奖提名公示情况表</w:t>
      </w:r>
    </w:p>
    <w:p>
      <w:pPr>
        <w:spacing w:line="700" w:lineRule="exact"/>
        <w:jc w:val="center"/>
        <w:rPr>
          <w:rFonts w:ascii="Times New Roman" w:hAnsi="Times New Roman" w:eastAsia="方正小标宋简体" w:cs="Times New Roman"/>
          <w:b/>
          <w:bCs/>
          <w:spacing w:val="-14"/>
          <w:w w:val="85"/>
          <w:sz w:val="44"/>
          <w:szCs w:val="44"/>
        </w:rPr>
      </w:pPr>
      <w:r>
        <w:rPr>
          <w:rFonts w:ascii="Times New Roman" w:hAnsi="Times New Roman" w:eastAsia="方正小标宋简体" w:cs="Times New Roman"/>
          <w:b/>
          <w:bCs/>
          <w:spacing w:val="-14"/>
          <w:w w:val="85"/>
          <w:sz w:val="44"/>
          <w:szCs w:val="44"/>
        </w:rPr>
        <w:t>（科技进步奖）</w:t>
      </w:r>
    </w:p>
    <w:p>
      <w:pPr>
        <w:spacing w:line="360" w:lineRule="auto"/>
        <w:jc w:val="center"/>
        <w:outlineLvl w:val="1"/>
        <w:rPr>
          <w:rFonts w:ascii="Times New Roman" w:hAnsi="Times New Roman" w:cs="Times New Roman"/>
          <w:b/>
          <w:color w:val="000000"/>
          <w:kern w:val="0"/>
          <w:sz w:val="28"/>
        </w:rPr>
      </w:pPr>
    </w:p>
    <w:p>
      <w:pPr>
        <w:spacing w:line="360" w:lineRule="auto"/>
        <w:jc w:val="center"/>
        <w:outlineLvl w:val="1"/>
        <w:rPr>
          <w:rFonts w:ascii="Times New Roman" w:hAnsi="Times New Roman" w:eastAsia="方正小标宋简体" w:cs="Times New Roman"/>
          <w:spacing w:val="-14"/>
          <w:w w:val="85"/>
          <w:sz w:val="44"/>
          <w:szCs w:val="44"/>
        </w:rPr>
      </w:pPr>
      <w:r>
        <w:rPr>
          <w:rFonts w:ascii="Times New Roman" w:hAnsi="Times New Roman" w:cs="Times New Roman"/>
          <w:b/>
          <w:color w:val="000000"/>
          <w:kern w:val="0"/>
          <w:sz w:val="28"/>
        </w:rPr>
        <w:t>一、项目基本情况</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Times New Roman" w:hAnsi="Times New Roman" w:cs="Times New Roman"/>
                <w:color w:val="000000"/>
              </w:rPr>
            </w:pPr>
            <w:r>
              <w:rPr>
                <w:rFonts w:ascii="Times New Roman" w:hAnsi="Times New Roman" w:cs="Times New Roman"/>
                <w:color w:val="000000"/>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before="60" w:after="60" w:line="360" w:lineRule="auto"/>
              <w:ind w:firstLine="420" w:firstLineChars="200"/>
              <w:jc w:val="center"/>
              <w:rPr>
                <w:rFonts w:ascii="Times New Roman" w:hAnsi="Times New Roman" w:cs="Times New Roman"/>
                <w:bCs/>
              </w:rPr>
            </w:pPr>
            <w:r>
              <w:rPr>
                <w:rFonts w:ascii="Times New Roman" w:hAnsi="Times New Roman" w:cs="Times New Roman"/>
                <w:bCs/>
              </w:rPr>
              <w:t>精准屈光性白内障手术评价体系的建立与应用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Times New Roman" w:hAnsi="Times New Roman" w:cs="Times New Roman"/>
                <w:color w:val="000000"/>
              </w:rPr>
            </w:pPr>
            <w:r>
              <w:rPr>
                <w:rFonts w:ascii="Times New Roman" w:hAnsi="Times New Roman" w:cs="Times New Roman"/>
                <w:color w:val="000000"/>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before="60" w:after="60" w:line="360" w:lineRule="auto"/>
              <w:ind w:firstLine="420" w:firstLineChars="200"/>
              <w:jc w:val="center"/>
              <w:rPr>
                <w:rFonts w:ascii="Times New Roman" w:hAnsi="Times New Roman" w:cs="Times New Roman"/>
                <w:bCs/>
              </w:rPr>
            </w:pPr>
            <w:r>
              <w:rPr>
                <w:rFonts w:ascii="Times New Roman" w:hAnsi="Times New Roman" w:cs="Times New Roman"/>
                <w:bCs/>
              </w:rPr>
              <w:t>川北医学院附属医院  陆军军医大学陆军特色医学中心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Times New Roman" w:hAnsi="Times New Roman" w:cs="Times New Roman"/>
                <w:color w:val="000000"/>
              </w:rPr>
            </w:pPr>
            <w:r>
              <w:rPr>
                <w:rFonts w:ascii="Times New Roman" w:hAnsi="Times New Roman" w:cs="Times New Roman"/>
                <w:color w:val="000000"/>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before="60" w:after="60" w:line="360" w:lineRule="auto"/>
              <w:ind w:firstLine="420" w:firstLineChars="200"/>
              <w:jc w:val="center"/>
              <w:rPr>
                <w:rFonts w:ascii="Times New Roman" w:hAnsi="Times New Roman" w:cs="Times New Roman"/>
                <w:bCs/>
              </w:rPr>
            </w:pPr>
            <w:r>
              <w:rPr>
                <w:rFonts w:ascii="Times New Roman" w:hAnsi="Times New Roman" w:cs="Times New Roman"/>
                <w:bCs/>
              </w:rPr>
              <w:t>廖萱 陈春林 兰长骏 叶剑 谭青青 林佳 谭吉林 田靖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spacing w:line="390" w:lineRule="exact"/>
              <w:jc w:val="center"/>
              <w:rPr>
                <w:rFonts w:ascii="Times New Roman" w:hAnsi="Times New Roman" w:cs="Times New Roman"/>
                <w:color w:val="000000"/>
              </w:rPr>
            </w:pPr>
            <w:r>
              <w:rPr>
                <w:rFonts w:ascii="Times New Roman" w:hAnsi="Times New Roman" w:cs="Times New Roman"/>
                <w:color w:val="000000"/>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spacing w:before="60" w:after="60" w:line="360" w:lineRule="auto"/>
              <w:ind w:firstLine="420" w:firstLineChars="200"/>
              <w:jc w:val="left"/>
              <w:rPr>
                <w:rFonts w:ascii="Times New Roman" w:hAnsi="Times New Roman" w:cs="Times New Roman"/>
              </w:rPr>
            </w:pPr>
            <w:r>
              <w:rPr>
                <w:rFonts w:ascii="Times New Roman" w:hAnsi="Times New Roman" w:cs="Times New Roman"/>
                <w:szCs w:val="21"/>
              </w:rPr>
              <w:t>白内障是全世界首位致盲性眼病，</w:t>
            </w:r>
            <w:r>
              <w:rPr>
                <w:rFonts w:ascii="Times New Roman" w:hAnsi="Times New Roman" w:cs="Times New Roman"/>
                <w:bCs/>
              </w:rPr>
              <w:t>相关发病机制仍在不断探索，手术是临床目前唯一有效的治疗手段。随着</w:t>
            </w:r>
            <w:r>
              <w:rPr>
                <w:rFonts w:ascii="Times New Roman" w:hAnsi="Times New Roman" w:cs="Times New Roman"/>
                <w:szCs w:val="21"/>
              </w:rPr>
              <w:t>科技和社会的发展，我国的白内障手术从防盲时代发展到注重视觉质量提升的屈光性白内障手术时代。</w:t>
            </w:r>
            <w:r>
              <w:rPr>
                <w:rFonts w:ascii="Times New Roman" w:hAnsi="Times New Roman" w:cs="Times New Roman"/>
              </w:rPr>
              <w:t>有鉴于此，</w:t>
            </w:r>
            <w:r>
              <w:rPr>
                <w:rFonts w:ascii="Times New Roman" w:hAnsi="Times New Roman" w:cs="Times New Roman"/>
                <w:szCs w:val="21"/>
              </w:rPr>
              <w:t>本项目</w:t>
            </w:r>
            <w:r>
              <w:rPr>
                <w:rFonts w:ascii="Times New Roman" w:hAnsi="Times New Roman" w:cs="Times New Roman"/>
              </w:rPr>
              <w:t>构建精准屈光性白内障手术评价体系，系统地从术前精准测量、术中精心实施和术后科学评价等方面进行了系列研究和临床应用</w:t>
            </w:r>
            <w:r>
              <w:rPr>
                <w:rFonts w:ascii="Times New Roman" w:hAnsi="Times New Roman" w:cs="Times New Roman"/>
                <w:szCs w:val="21"/>
              </w:rPr>
              <w:t>，取得了以下成果：（1）</w:t>
            </w:r>
            <w:r>
              <w:rPr>
                <w:rFonts w:ascii="Times New Roman" w:hAnsi="Times New Roman" w:cs="Times New Roman"/>
              </w:rPr>
              <w:t>在国内率先将新型波前像差设备应用于临床测量，研究了多阶波前像差在手术前后的表现和影响，比较了不同原理波前像</w:t>
            </w:r>
            <w:r>
              <w:rPr>
                <w:rFonts w:ascii="Times New Roman" w:hAnsi="Times New Roman" w:cs="Times New Roman"/>
                <w:szCs w:val="21"/>
              </w:rPr>
              <w:t>差设备分析人眼像差的优势，用于个性化指导手术设计和术后评价等方面，取得较好效果。（2）将扫频光学相干断层扫描技术应用于眼部测量，并对全部眼部生物参数进行全面分析，以探索新技术在测量准确性、对晶状体混浊致密的白内障眼参数检出率和人工晶状体屈光力计算中的优势，在减</w:t>
            </w:r>
            <w:r>
              <w:rPr>
                <w:rFonts w:ascii="Times New Roman" w:hAnsi="Times New Roman" w:cs="Times New Roman"/>
              </w:rPr>
              <w:t>低术后屈光误差的产生等等方面取得积极成效。（3）采用双通道技术等对功能性</w:t>
            </w:r>
            <w:r>
              <w:rPr>
                <w:rFonts w:ascii="Times New Roman" w:hAnsi="Times New Roman" w:cs="Times New Roman"/>
                <w:szCs w:val="21"/>
              </w:rPr>
              <w:t>人工晶状体</w:t>
            </w:r>
            <w:r>
              <w:rPr>
                <w:rFonts w:ascii="Times New Roman" w:hAnsi="Times New Roman" w:cs="Times New Roman"/>
              </w:rPr>
              <w:t>植入以及不同程度/轴向散光眼的主观和客观视觉质量进行全面地分析，包括远中近视力、离焦曲线、高阶像差、对比敏感度、调制传递函数、点扩散函数、散射指数等参数，提供了功能性</w:t>
            </w:r>
            <w:r>
              <w:rPr>
                <w:rFonts w:ascii="Times New Roman" w:hAnsi="Times New Roman" w:cs="Times New Roman"/>
                <w:szCs w:val="21"/>
              </w:rPr>
              <w:t>人工晶状体</w:t>
            </w:r>
            <w:r>
              <w:rPr>
                <w:rFonts w:ascii="Times New Roman" w:hAnsi="Times New Roman" w:cs="Times New Roman"/>
              </w:rPr>
              <w:t>部分视觉不良现象的客观依据，发现低度逆规和斜轴散光影响视觉质量以及散射指数敏感性高，提出非球面</w:t>
            </w:r>
            <w:r>
              <w:rPr>
                <w:rFonts w:ascii="Times New Roman" w:hAnsi="Times New Roman" w:cs="Times New Roman"/>
                <w:szCs w:val="21"/>
              </w:rPr>
              <w:t>人工晶状体</w:t>
            </w:r>
            <w:r>
              <w:rPr>
                <w:rFonts w:ascii="Times New Roman" w:hAnsi="Times New Roman" w:cs="Times New Roman"/>
              </w:rPr>
              <w:t>的个性化选择及避免术后全眼负球差，用以术前规划、</w:t>
            </w:r>
            <w:r>
              <w:rPr>
                <w:rFonts w:ascii="Times New Roman" w:hAnsi="Times New Roman" w:cs="Times New Roman"/>
                <w:szCs w:val="21"/>
              </w:rPr>
              <w:t>人工晶状体</w:t>
            </w:r>
            <w:r>
              <w:rPr>
                <w:rFonts w:ascii="Times New Roman" w:hAnsi="Times New Roman" w:cs="Times New Roman"/>
              </w:rPr>
              <w:t>选择、术后效果分析及随访等等。（4）利用扫频眼前节相干光层析成像技术研究了实时获取晶状体和</w:t>
            </w:r>
            <w:r>
              <w:rPr>
                <w:rFonts w:hint="eastAsia" w:ascii="Times New Roman" w:hAnsi="Times New Roman" w:cs="Times New Roman"/>
                <w:color w:val="000000"/>
                <w:szCs w:val="20"/>
              </w:rPr>
              <w:t>人工晶状体</w:t>
            </w:r>
            <w:r>
              <w:rPr>
                <w:rFonts w:ascii="Times New Roman" w:hAnsi="Times New Roman" w:cs="Times New Roman"/>
              </w:rPr>
              <w:t>的偏心和倾斜数据的可行性，为白内障患者术前选择功能性</w:t>
            </w:r>
            <w:r>
              <w:rPr>
                <w:rFonts w:ascii="Times New Roman" w:hAnsi="Times New Roman" w:cs="Times New Roman"/>
                <w:szCs w:val="21"/>
              </w:rPr>
              <w:t>人工晶状体</w:t>
            </w:r>
            <w:r>
              <w:rPr>
                <w:rFonts w:ascii="Times New Roman" w:hAnsi="Times New Roman" w:cs="Times New Roman"/>
              </w:rPr>
              <w:t>和术后随访</w:t>
            </w:r>
            <w:r>
              <w:rPr>
                <w:rFonts w:ascii="Times New Roman" w:hAnsi="Times New Roman" w:cs="Times New Roman"/>
                <w:szCs w:val="21"/>
              </w:rPr>
              <w:t>人工晶状体</w:t>
            </w:r>
            <w:r>
              <w:rPr>
                <w:rFonts w:ascii="Times New Roman" w:hAnsi="Times New Roman" w:cs="Times New Roman"/>
              </w:rPr>
              <w:t>位置的方法提供了临床依据，强调术中精心实施以保障功能性</w:t>
            </w:r>
            <w:r>
              <w:rPr>
                <w:rFonts w:ascii="Times New Roman" w:hAnsi="Times New Roman" w:cs="Times New Roman"/>
                <w:szCs w:val="21"/>
              </w:rPr>
              <w:t>人工晶状体</w:t>
            </w:r>
            <w:r>
              <w:rPr>
                <w:rFonts w:ascii="Times New Roman" w:hAnsi="Times New Roman" w:cs="Times New Roman"/>
              </w:rPr>
              <w:t>带来的临床收益；（5）探索了白内障</w:t>
            </w:r>
            <w:r>
              <w:rPr>
                <w:rFonts w:ascii="Times New Roman" w:hAnsi="Times New Roman" w:cs="Times New Roman"/>
                <w:bCs/>
              </w:rPr>
              <w:t>相关分子遗传机制</w:t>
            </w:r>
            <w:r>
              <w:rPr>
                <w:rFonts w:ascii="Times New Roman" w:hAnsi="Times New Roman" w:cs="Times New Roman"/>
              </w:rPr>
              <w:t>，发现TDRD7基因rs109819 85 G→A变异对汉族人群年龄相关性白内障有保护作用</w:t>
            </w:r>
            <w:r>
              <w:rPr>
                <w:rFonts w:hint="eastAsia" w:ascii="Times New Roman" w:hAnsi="Times New Roman" w:cs="Times New Roman"/>
              </w:rPr>
              <w:t>，</w:t>
            </w:r>
            <w:r>
              <w:rPr>
                <w:rFonts w:ascii="Times New Roman" w:hAnsi="Times New Roman" w:cs="Times New Roman"/>
              </w:rPr>
              <w:t>血清Aβ1-42和Aβ1-40水平升高是年龄相关性白内障的潜在危险因</w:t>
            </w:r>
            <w:r>
              <w:rPr>
                <w:rFonts w:hint="eastAsia" w:ascii="Times New Roman" w:hAnsi="Times New Roman" w:cs="Times New Roman"/>
              </w:rPr>
              <w:t>，</w:t>
            </w:r>
            <w:r>
              <w:rPr>
                <w:rFonts w:hint="eastAsia" w:ascii="Times New Roman" w:hAnsi="Times New Roman" w:cs="Times New Roman"/>
                <w:color w:val="000000"/>
                <w:szCs w:val="20"/>
              </w:rPr>
              <w:t>为临床鉴定提供新思路</w:t>
            </w:r>
            <w:r>
              <w:rPr>
                <w:rFonts w:hint="eastAsia" w:ascii="Times New Roman" w:hAnsi="Times New Roman" w:cs="Times New Roman"/>
              </w:rPr>
              <w:t>。</w:t>
            </w:r>
          </w:p>
          <w:p>
            <w:pPr>
              <w:spacing w:before="60" w:after="60" w:line="360" w:lineRule="auto"/>
              <w:ind w:firstLine="420" w:firstLineChars="200"/>
              <w:jc w:val="left"/>
              <w:rPr>
                <w:rFonts w:ascii="Times New Roman" w:hAnsi="Times New Roman" w:cs="Times New Roman"/>
              </w:rPr>
            </w:pPr>
            <w:r>
              <w:rPr>
                <w:rFonts w:ascii="Times New Roman" w:hAnsi="Times New Roman" w:cs="Times New Roman"/>
                <w:szCs w:val="21"/>
              </w:rPr>
              <w:t>本项目科研成果以学术论文、专家述评、专家共识、课题立项、专题讲座等形式呈现。公开发表</w:t>
            </w:r>
            <w:r>
              <w:rPr>
                <w:rFonts w:ascii="Times New Roman" w:hAnsi="Times New Roman" w:cs="Times New Roman"/>
              </w:rPr>
              <w:t>学术</w:t>
            </w:r>
            <w:r>
              <w:rPr>
                <w:rFonts w:ascii="Times New Roman" w:hAnsi="Times New Roman" w:cs="Times New Roman"/>
                <w:szCs w:val="21"/>
              </w:rPr>
              <w:t>论文71篇，其中SCI收录20篇，中华医学会系列杂志20篇，中文核心32篇。主编白内障专著2部。受邀为《中华眼科杂志》、《中华实验眼科杂志》撰写专家述评和讲座6篇；受邀中华医学会白内障学组参与制定我国白内障专家共识9个，受邀中华医学会眼视光学组作为执笔制定专家共识1个。成果在国内外重要学术会议如美国眼科学和视觉科学研究大会(ARVO)、全国眼科学术大会等进行讲座和交流。获得国家发明专利1项、实用新型专利2项。获得包括国家自然科学基金面上项目在内项目支持9项，培养博士后1名，博士5名、硕士研究生22名。本项目研究处于国际先进、国内领先水平，在指导精准屈光性白内障手术的开展和科学评价上有良好的前景，具有创新性和实用性，研究成果在省内外15家三甲医院推广应用，缩短了住院时间，提升了患者满意度，改善了患者生存质量，获得了很好的经济效益和社会效益。</w:t>
            </w: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0"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第一完成</w:t>
            </w:r>
          </w:p>
          <w:p>
            <w:pPr>
              <w:spacing w:line="360" w:lineRule="auto"/>
              <w:jc w:val="center"/>
              <w:rPr>
                <w:rFonts w:ascii="Times New Roman" w:hAnsi="Times New Roman" w:eastAsia="黑体" w:cs="Times New Roman"/>
                <w:sz w:val="24"/>
                <w:szCs w:val="24"/>
              </w:rPr>
            </w:pPr>
            <w:r>
              <w:rPr>
                <w:rFonts w:ascii="Times New Roman" w:hAnsi="Times New Roman" w:cs="Times New Roman"/>
                <w:szCs w:val="21"/>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hint="eastAsia" w:ascii="Times New Roman" w:hAnsi="Times New Roman" w:cs="Times New Roman"/>
                <w:szCs w:val="21"/>
              </w:rPr>
            </w:pP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r>
              <w:rPr>
                <w:rFonts w:ascii="Times New Roman" w:hAnsi="Times New Roman" w:cs="Times New Roman"/>
                <w:szCs w:val="21"/>
              </w:rPr>
              <w:t>单位法人签名：                    单位盖章</w:t>
            </w:r>
          </w:p>
          <w:p>
            <w:pPr>
              <w:spacing w:line="360" w:lineRule="auto"/>
              <w:ind w:firstLine="840" w:firstLineChars="400"/>
              <w:rPr>
                <w:rFonts w:ascii="Times New Roman" w:hAnsi="Times New Roman" w:cs="Times New Roman"/>
                <w:szCs w:val="21"/>
              </w:rPr>
            </w:pPr>
          </w:p>
          <w:p>
            <w:pPr>
              <w:spacing w:line="360" w:lineRule="auto"/>
              <w:ind w:firstLine="840" w:firstLineChars="400"/>
              <w:rPr>
                <w:rFonts w:ascii="Times New Roman" w:hAnsi="Times New Roman" w:cs="Times New Roman"/>
                <w:szCs w:val="21"/>
              </w:rPr>
            </w:pPr>
          </w:p>
          <w:p>
            <w:pPr>
              <w:ind w:firstLine="630" w:firstLineChars="300"/>
              <w:rPr>
                <w:rFonts w:ascii="Times New Roman" w:hAnsi="Times New Roman" w:cs="Times New Roman"/>
                <w:szCs w:val="21"/>
              </w:rPr>
            </w:pPr>
            <w:r>
              <w:rPr>
                <w:rFonts w:ascii="Times New Roman" w:hAnsi="Times New Roman" w:cs="Times New Roman"/>
                <w:szCs w:val="21"/>
              </w:rPr>
              <w:t xml:space="preserve">                                  年   月   日</w:t>
            </w:r>
          </w:p>
          <w:p>
            <w:pPr>
              <w:ind w:firstLine="720" w:firstLineChars="300"/>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hint="eastAsia"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hint="eastAsia" w:ascii="Times New Roman" w:hAnsi="Times New Roman" w:eastAsia="仿宋_GB2312" w:cs="Times New Roman"/>
                <w:sz w:val="24"/>
                <w:szCs w:val="24"/>
              </w:rPr>
            </w:pPr>
          </w:p>
          <w:p>
            <w:pPr>
              <w:rPr>
                <w:rFonts w:hint="eastAsia" w:ascii="Times New Roman" w:hAnsi="Times New Roman" w:eastAsia="仿宋_GB2312" w:cs="Times New Roman"/>
                <w:sz w:val="24"/>
                <w:szCs w:val="24"/>
              </w:rPr>
            </w:pPr>
          </w:p>
        </w:tc>
      </w:tr>
    </w:tbl>
    <w:p>
      <w:pPr>
        <w:spacing w:line="360" w:lineRule="auto"/>
        <w:jc w:val="center"/>
        <w:rPr>
          <w:rFonts w:ascii="Times New Roman" w:hAnsi="Times New Roman" w:cs="Times New Roman"/>
          <w:b/>
          <w:color w:val="000000"/>
          <w:kern w:val="0"/>
          <w:sz w:val="28"/>
        </w:rPr>
      </w:pPr>
      <w:r>
        <w:rPr>
          <w:rFonts w:ascii="Times New Roman" w:hAnsi="Times New Roman" w:cs="Times New Roman"/>
          <w:b/>
          <w:bCs/>
          <w:color w:val="000000"/>
          <w:kern w:val="0"/>
          <w:sz w:val="28"/>
        </w:rPr>
        <w:t>二、</w:t>
      </w:r>
      <w:r>
        <w:rPr>
          <w:rFonts w:ascii="Times New Roman" w:hAnsi="Times New Roman" w:cs="Times New Roman"/>
          <w:b/>
          <w:color w:val="000000"/>
          <w:kern w:val="0"/>
          <w:sz w:val="28"/>
        </w:rPr>
        <w:t>提名单位意见</w:t>
      </w:r>
    </w:p>
    <w:tbl>
      <w:tblPr>
        <w:tblStyle w:val="10"/>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南充市人民政府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四川省南充市顺庆区万年西路2号</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637000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联 系 人</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马文龙</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13518290052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406299741@qq.com</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传    真</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0817-2236280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1"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Times New Roman" w:hAnsi="Times New Roman" w:cs="Times New Roman"/>
                <w:color w:val="000000"/>
                <w:szCs w:val="20"/>
              </w:rPr>
            </w:pPr>
            <w:r>
              <w:rPr>
                <w:rFonts w:ascii="Times New Roman" w:hAnsi="Times New Roman" w:cs="Times New Roman"/>
                <w:color w:val="000000"/>
                <w:szCs w:val="20"/>
              </w:rPr>
              <w:t>提名意见：</w:t>
            </w:r>
          </w:p>
          <w:p>
            <w:pPr>
              <w:ind w:firstLine="420" w:firstLineChars="200"/>
              <w:rPr>
                <w:rFonts w:hint="eastAsia" w:ascii="Times New Roman" w:hAnsi="Times New Roman" w:cs="Times New Roman"/>
                <w:color w:val="000000"/>
                <w:szCs w:val="20"/>
              </w:rPr>
            </w:pPr>
            <w:r>
              <w:rPr>
                <w:rFonts w:hint="eastAsia" w:ascii="Times New Roman" w:hAnsi="Times New Roman" w:cs="Times New Roman"/>
                <w:color w:val="000000"/>
                <w:szCs w:val="20"/>
              </w:rPr>
              <w:t>白内障是全世界首位致盲性眼病，在注重视觉质量提升的时代构建精准屈光性白内障手术评价体系具有重要意义，本项目主要取得了以下成果：（1）研究了多阶波前像差在手术前后的表现和影响，用于个性化指导手术设计和术后评价等方面。（2）探索了S</w:t>
            </w:r>
            <w:r>
              <w:rPr>
                <w:rFonts w:ascii="Times New Roman" w:hAnsi="Times New Roman" w:cs="Times New Roman"/>
                <w:color w:val="000000"/>
                <w:szCs w:val="20"/>
              </w:rPr>
              <w:t>S-OCT</w:t>
            </w:r>
            <w:r>
              <w:rPr>
                <w:rFonts w:hint="eastAsia" w:ascii="Times New Roman" w:hAnsi="Times New Roman" w:cs="Times New Roman"/>
                <w:color w:val="000000"/>
                <w:szCs w:val="20"/>
              </w:rPr>
              <w:t>技术在测量准确性、对致密的白内障眼参数检出率和I</w:t>
            </w:r>
            <w:r>
              <w:rPr>
                <w:rFonts w:ascii="Times New Roman" w:hAnsi="Times New Roman" w:cs="Times New Roman"/>
                <w:color w:val="000000"/>
                <w:szCs w:val="20"/>
              </w:rPr>
              <w:t>OL</w:t>
            </w:r>
            <w:r>
              <w:rPr>
                <w:rFonts w:hint="eastAsia" w:ascii="Times New Roman" w:hAnsi="Times New Roman" w:cs="Times New Roman"/>
                <w:color w:val="000000"/>
                <w:szCs w:val="20"/>
              </w:rPr>
              <w:t>屈光力计算中的优势，减低了术后屈光误差的产生。（3）采用双通道技术等对主观和客观视觉质量进行全面地分析，用以术前规划、I</w:t>
            </w:r>
            <w:r>
              <w:rPr>
                <w:rFonts w:ascii="Times New Roman" w:hAnsi="Times New Roman" w:cs="Times New Roman"/>
                <w:color w:val="000000"/>
                <w:szCs w:val="20"/>
              </w:rPr>
              <w:t>OL</w:t>
            </w:r>
            <w:r>
              <w:rPr>
                <w:rFonts w:hint="eastAsia" w:ascii="Times New Roman" w:hAnsi="Times New Roman" w:cs="Times New Roman"/>
                <w:color w:val="000000"/>
                <w:szCs w:val="20"/>
              </w:rPr>
              <w:t>选择、术后效果分析及随访等等。（4）利用新技术研究了实时获取晶状体和I</w:t>
            </w:r>
            <w:r>
              <w:rPr>
                <w:rFonts w:ascii="Times New Roman" w:hAnsi="Times New Roman" w:cs="Times New Roman"/>
                <w:color w:val="000000"/>
                <w:szCs w:val="20"/>
              </w:rPr>
              <w:t>OL</w:t>
            </w:r>
            <w:r>
              <w:rPr>
                <w:rFonts w:hint="eastAsia" w:ascii="Times New Roman" w:hAnsi="Times New Roman" w:cs="Times New Roman"/>
                <w:color w:val="000000"/>
                <w:szCs w:val="20"/>
              </w:rPr>
              <w:t>的偏心和倾斜数据的可行性，为术前选择功能性I</w:t>
            </w:r>
            <w:r>
              <w:rPr>
                <w:rFonts w:ascii="Times New Roman" w:hAnsi="Times New Roman" w:cs="Times New Roman"/>
                <w:color w:val="000000"/>
                <w:szCs w:val="20"/>
              </w:rPr>
              <w:t>OL</w:t>
            </w:r>
            <w:r>
              <w:rPr>
                <w:rFonts w:hint="eastAsia" w:ascii="Times New Roman" w:hAnsi="Times New Roman" w:cs="Times New Roman"/>
                <w:color w:val="000000"/>
                <w:szCs w:val="20"/>
              </w:rPr>
              <w:t>和术后随访I</w:t>
            </w:r>
            <w:r>
              <w:rPr>
                <w:rFonts w:ascii="Times New Roman" w:hAnsi="Times New Roman" w:cs="Times New Roman"/>
                <w:color w:val="000000"/>
                <w:szCs w:val="20"/>
              </w:rPr>
              <w:t>OL</w:t>
            </w:r>
            <w:r>
              <w:rPr>
                <w:rFonts w:hint="eastAsia" w:ascii="Times New Roman" w:hAnsi="Times New Roman" w:cs="Times New Roman"/>
                <w:color w:val="000000"/>
                <w:szCs w:val="20"/>
              </w:rPr>
              <w:t>位置的方法提供了临床依据；（5）探索了白内障相关分子遗传机制，鉴定出新易感基因和遗传变异位点，血清Aβ1-42/40水平升高是年龄相关性白内障的潜在危险因素，为临床鉴定提供新思路。本项目历时十余年，在包括国家自然科学基金在内的多项科研课题的资助下取得了丰硕的研究成果，在国内外权威杂志发表多篇学术论文。项目成果已经在南京医科大学眼科医院、中国医科大学附属第四医院、山东省立医院、西南医科大学附属医院、贵州医科大学附属医院等省内外15家三甲医院推广应用，获得良好的社会和经济效益。该项目研究方法先进、技术成熟、数据详实、结论新颖、结果可靠，具有创新性和实用性，总体达到了国际先进、国内领先水平。</w:t>
            </w:r>
          </w:p>
          <w:p>
            <w:pPr>
              <w:ind w:firstLine="420" w:firstLineChars="200"/>
              <w:rPr>
                <w:rFonts w:ascii="Times New Roman" w:hAnsi="Times New Roman" w:cs="Times New Roman"/>
                <w:b/>
                <w:bCs/>
                <w:strike/>
                <w:color w:val="000000"/>
                <w:szCs w:val="20"/>
              </w:rPr>
            </w:pPr>
            <w:r>
              <w:rPr>
                <w:rFonts w:hint="eastAsia" w:ascii="宋体" w:cs="Times New Roman"/>
                <w:color w:val="000000"/>
                <w:szCs w:val="20"/>
                <w:lang w:val="en-US" w:eastAsia="zh-CN"/>
              </w:rPr>
              <w:t>该项目申报书内容真实，符合申报条件，提供的资料齐全合格。按照要求，</w:t>
            </w:r>
            <w:r>
              <w:rPr>
                <w:rFonts w:hint="eastAsia" w:ascii="宋体" w:eastAsia="宋体" w:cs="Times New Roman"/>
                <w:bCs/>
                <w:color w:val="000000"/>
                <w:spacing w:val="2"/>
                <w:szCs w:val="20"/>
              </w:rPr>
              <w:t>提名该项目为四川省科学技术进步奖。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9"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spacing w:line="320" w:lineRule="exact"/>
              <w:ind w:firstLine="422" w:firstLineChars="200"/>
              <w:rPr>
                <w:rFonts w:ascii="Times New Roman" w:hAnsi="Times New Roman" w:cs="Times New Roman"/>
                <w:color w:val="000000"/>
                <w:sz w:val="24"/>
              </w:rPr>
            </w:pPr>
            <w:r>
              <w:rPr>
                <w:rFonts w:ascii="Times New Roman" w:hAnsi="Times New Roman" w:cs="Times New Roman"/>
                <w:b/>
                <w:bCs/>
                <w:color w:val="000000"/>
              </w:rPr>
              <w:t>声明：</w:t>
            </w:r>
            <w:r>
              <w:rPr>
                <w:rFonts w:ascii="Times New Roman" w:hAnsi="Times New Roman" w:cs="Times New Roman"/>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ind w:firstLine="420" w:firstLineChars="200"/>
              <w:rPr>
                <w:rFonts w:ascii="Times New Roman" w:hAnsi="Times New Roman" w:cs="Times New Roman"/>
                <w:color w:val="000000"/>
                <w:szCs w:val="20"/>
              </w:rPr>
            </w:pPr>
            <w:r>
              <w:rPr>
                <w:rFonts w:ascii="Times New Roman" w:hAnsi="Times New Roman" w:cs="Times New Roman"/>
                <w:color w:val="000000"/>
                <w:szCs w:val="20"/>
              </w:rPr>
              <w:t xml:space="preserve">     单位负责人签名：                             提名单位（盖章） </w:t>
            </w:r>
          </w:p>
          <w:p>
            <w:pPr>
              <w:ind w:firstLine="420" w:firstLineChars="200"/>
              <w:rPr>
                <w:rFonts w:ascii="Times New Roman" w:hAnsi="Times New Roman" w:cs="Times New Roman"/>
                <w:color w:val="000000"/>
                <w:szCs w:val="20"/>
              </w:rPr>
            </w:pPr>
          </w:p>
          <w:p>
            <w:pPr>
              <w:spacing w:line="360" w:lineRule="auto"/>
              <w:rPr>
                <w:rFonts w:ascii="Times New Roman" w:hAnsi="Times New Roman" w:cs="Times New Roman"/>
                <w:color w:val="000000"/>
                <w:szCs w:val="20"/>
              </w:rPr>
            </w:pPr>
            <w:r>
              <w:rPr>
                <w:rFonts w:ascii="Times New Roman" w:hAnsi="Times New Roman" w:cs="Times New Roman"/>
                <w:color w:val="000000"/>
                <w:szCs w:val="20"/>
              </w:rPr>
              <w:t xml:space="preserve">             年   月   日                                   年    月    日</w:t>
            </w:r>
          </w:p>
        </w:tc>
      </w:tr>
    </w:tbl>
    <w:p>
      <w:pPr>
        <w:spacing w:line="390" w:lineRule="exact"/>
        <w:jc w:val="center"/>
        <w:outlineLvl w:val="1"/>
        <w:rPr>
          <w:rFonts w:ascii="Times New Roman" w:hAnsi="Times New Roman" w:cs="Times New Roman"/>
          <w:b/>
          <w:color w:val="000000"/>
          <w:sz w:val="28"/>
          <w:szCs w:val="20"/>
        </w:rPr>
      </w:pPr>
    </w:p>
    <w:p>
      <w:pPr>
        <w:spacing w:line="390" w:lineRule="exact"/>
        <w:jc w:val="center"/>
        <w:outlineLvl w:val="1"/>
        <w:rPr>
          <w:rFonts w:ascii="Times New Roman" w:hAnsi="Times New Roman" w:cs="Times New Roman"/>
          <w:szCs w:val="21"/>
        </w:rPr>
      </w:pPr>
      <w:bookmarkStart w:id="0" w:name="_GoBack"/>
      <w:bookmarkEnd w:id="0"/>
      <w:r>
        <w:rPr>
          <w:rFonts w:ascii="Times New Roman" w:hAnsi="Times New Roman" w:cs="Times New Roman"/>
          <w:b/>
          <w:color w:val="000000"/>
          <w:sz w:val="28"/>
          <w:szCs w:val="20"/>
        </w:rPr>
        <w:t>三、主要知识产权和标准规范等目录</w:t>
      </w:r>
      <w:r>
        <w:rPr>
          <w:rFonts w:ascii="Times New Roman" w:hAnsi="Times New Roman" w:cs="Times New Roman"/>
          <w:szCs w:val="21"/>
        </w:rPr>
        <w:t>（不超过10件）</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知识产权（标准）类别</w:t>
            </w:r>
          </w:p>
        </w:tc>
        <w:tc>
          <w:tcPr>
            <w:tcW w:w="126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知识产权（标准）具体名称</w:t>
            </w:r>
          </w:p>
        </w:tc>
        <w:tc>
          <w:tcPr>
            <w:tcW w:w="102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国家</w:t>
            </w:r>
          </w:p>
          <w:p>
            <w:pPr>
              <w:spacing w:line="360" w:lineRule="auto"/>
              <w:jc w:val="center"/>
              <w:rPr>
                <w:rFonts w:ascii="Times New Roman" w:hAnsi="Times New Roman" w:cs="Times New Roman"/>
                <w:szCs w:val="21"/>
              </w:rPr>
            </w:pPr>
            <w:r>
              <w:rPr>
                <w:rFonts w:ascii="Times New Roman" w:hAnsi="Times New Roman" w:cs="Times New Roman"/>
                <w:szCs w:val="21"/>
              </w:rPr>
              <w:t>（地区）</w:t>
            </w:r>
          </w:p>
        </w:tc>
        <w:tc>
          <w:tcPr>
            <w:tcW w:w="84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授权号（标准编号）</w:t>
            </w:r>
          </w:p>
        </w:tc>
        <w:tc>
          <w:tcPr>
            <w:tcW w:w="99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授权（标准发布）日期</w:t>
            </w:r>
          </w:p>
        </w:tc>
        <w:tc>
          <w:tcPr>
            <w:tcW w:w="113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Times New Roman" w:hAnsi="Times New Roman" w:eastAsia="宋体" w:cs="Times New Roman"/>
                <w:szCs w:val="21"/>
                <w:lang w:eastAsia="zh-CN"/>
              </w:rPr>
            </w:pPr>
            <w:r>
              <w:rPr>
                <w:rFonts w:ascii="Times New Roman" w:hAnsi="Times New Roman" w:cs="Times New Roman"/>
                <w:szCs w:val="21"/>
              </w:rPr>
              <w:t>证书编号</w:t>
            </w:r>
          </w:p>
          <w:p>
            <w:pPr>
              <w:spacing w:line="360" w:lineRule="auto"/>
              <w:jc w:val="center"/>
              <w:rPr>
                <w:rFonts w:ascii="Times New Roman" w:hAnsi="Times New Roman" w:cs="Times New Roman"/>
                <w:szCs w:val="21"/>
              </w:rPr>
            </w:pPr>
            <w:r>
              <w:rPr>
                <w:rFonts w:ascii="Times New Roman" w:hAnsi="Times New Roman" w:cs="Times New Roman"/>
                <w:szCs w:val="21"/>
              </w:rPr>
              <w:t>（标准批准发布部门）</w:t>
            </w:r>
          </w:p>
        </w:tc>
        <w:tc>
          <w:tcPr>
            <w:tcW w:w="85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权利人（标准起草单位）</w:t>
            </w:r>
          </w:p>
        </w:tc>
        <w:tc>
          <w:tcPr>
            <w:tcW w:w="85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发明人（标准起草人）</w:t>
            </w:r>
          </w:p>
        </w:tc>
        <w:tc>
          <w:tcPr>
            <w:tcW w:w="11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088"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国家发明专利</w:t>
            </w:r>
          </w:p>
        </w:tc>
        <w:tc>
          <w:tcPr>
            <w:tcW w:w="126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一种视力检查辅助装置</w:t>
            </w:r>
          </w:p>
        </w:tc>
        <w:tc>
          <w:tcPr>
            <w:tcW w:w="102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CN109077702</w:t>
            </w:r>
          </w:p>
        </w:tc>
        <w:tc>
          <w:tcPr>
            <w:tcW w:w="99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2018.08.28</w:t>
            </w:r>
          </w:p>
        </w:tc>
        <w:tc>
          <w:tcPr>
            <w:tcW w:w="1134"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4034201</w:t>
            </w:r>
          </w:p>
        </w:tc>
        <w:tc>
          <w:tcPr>
            <w:tcW w:w="85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谭青青</w:t>
            </w:r>
          </w:p>
          <w:p>
            <w:pPr>
              <w:jc w:val="center"/>
              <w:rPr>
                <w:rFonts w:ascii="Times New Roman" w:hAnsi="Times New Roman" w:cs="Times New Roman"/>
                <w:szCs w:val="21"/>
              </w:rPr>
            </w:pPr>
            <w:r>
              <w:rPr>
                <w:rFonts w:ascii="Times New Roman" w:hAnsi="Times New Roman" w:cs="Times New Roman"/>
                <w:szCs w:val="21"/>
              </w:rPr>
              <w:t>卢慧聪</w:t>
            </w:r>
          </w:p>
        </w:tc>
        <w:tc>
          <w:tcPr>
            <w:tcW w:w="1183"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088"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一种用于白内障术中环形撕囊及散光标记的辅助装置</w:t>
            </w:r>
          </w:p>
        </w:tc>
        <w:tc>
          <w:tcPr>
            <w:tcW w:w="102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CN211985888U</w:t>
            </w:r>
          </w:p>
        </w:tc>
        <w:tc>
          <w:tcPr>
            <w:tcW w:w="99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2019.12.26</w:t>
            </w:r>
          </w:p>
        </w:tc>
        <w:tc>
          <w:tcPr>
            <w:tcW w:w="1134"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11997422</w:t>
            </w:r>
          </w:p>
        </w:tc>
        <w:tc>
          <w:tcPr>
            <w:tcW w:w="85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廖萱</w:t>
            </w:r>
          </w:p>
          <w:p>
            <w:pPr>
              <w:jc w:val="center"/>
              <w:rPr>
                <w:rFonts w:ascii="Times New Roman" w:hAnsi="Times New Roman" w:cs="Times New Roman"/>
                <w:szCs w:val="21"/>
              </w:rPr>
            </w:pPr>
            <w:r>
              <w:rPr>
                <w:rFonts w:ascii="Times New Roman" w:hAnsi="Times New Roman" w:cs="Times New Roman"/>
                <w:szCs w:val="21"/>
              </w:rPr>
              <w:t>何姝</w:t>
            </w:r>
          </w:p>
        </w:tc>
        <w:tc>
          <w:tcPr>
            <w:tcW w:w="1183"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一种设有贴合结构的眼科手术帽</w:t>
            </w:r>
          </w:p>
        </w:tc>
        <w:tc>
          <w:tcPr>
            <w:tcW w:w="102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CN 214127209 U</w:t>
            </w:r>
          </w:p>
        </w:tc>
        <w:tc>
          <w:tcPr>
            <w:tcW w:w="992"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2021.09.07</w:t>
            </w:r>
          </w:p>
        </w:tc>
        <w:tc>
          <w:tcPr>
            <w:tcW w:w="1134"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14129924</w:t>
            </w:r>
          </w:p>
        </w:tc>
        <w:tc>
          <w:tcPr>
            <w:tcW w:w="85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廖萱; 兰长骏；文佰伟；何丽君；谭青青；田靖</w:t>
            </w:r>
          </w:p>
        </w:tc>
        <w:tc>
          <w:tcPr>
            <w:tcW w:w="1183"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88"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260"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022"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49"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992"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134"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50"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51"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183"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88"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260"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022"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49"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992"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134"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50"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851"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c>
          <w:tcPr>
            <w:tcW w:w="1183" w:type="dxa"/>
            <w:tcBorders>
              <w:top w:val="single" w:color="auto" w:sz="4" w:space="0"/>
              <w:left w:val="single" w:color="auto" w:sz="8" w:space="0"/>
              <w:bottom w:val="single" w:color="auto" w:sz="4" w:space="0"/>
              <w:right w:val="single" w:color="auto" w:sz="8" w:space="0"/>
            </w:tcBorders>
            <w:noWrap/>
          </w:tcPr>
          <w:p>
            <w:pPr>
              <w:spacing w:line="360" w:lineRule="auto"/>
              <w:jc w:val="center"/>
              <w:rPr>
                <w:rFonts w:ascii="Times New Roman" w:hAnsi="Times New Roman" w:cs="Times New Roman"/>
                <w:szCs w:val="21"/>
              </w:rPr>
            </w:pPr>
          </w:p>
        </w:tc>
      </w:tr>
    </w:tbl>
    <w:p>
      <w:pPr>
        <w:spacing w:line="390" w:lineRule="exact"/>
        <w:jc w:val="center"/>
        <w:outlineLvl w:val="1"/>
        <w:rPr>
          <w:rFonts w:ascii="Times New Roman" w:hAnsi="Times New Roman" w:cs="Times New Roman"/>
          <w:b/>
          <w:color w:val="000000"/>
          <w:sz w:val="28"/>
          <w:szCs w:val="20"/>
        </w:rPr>
      </w:pPr>
      <w:r>
        <w:rPr>
          <w:rFonts w:ascii="Times New Roman" w:hAnsi="Times New Roman" w:cs="Times New Roman"/>
          <w:b/>
          <w:color w:val="000000"/>
          <w:sz w:val="28"/>
          <w:szCs w:val="20"/>
        </w:rPr>
        <w:t>四、论文专著目录</w:t>
      </w:r>
      <w:r>
        <w:rPr>
          <w:rFonts w:ascii="Times New Roman" w:hAnsi="Times New Roman" w:cs="Times New Roman"/>
          <w:szCs w:val="21"/>
        </w:rPr>
        <w:t>（不超过5篇/部，非必填）</w:t>
      </w:r>
    </w:p>
    <w:tbl>
      <w:tblPr>
        <w:tblStyle w:val="10"/>
        <w:tblW w:w="9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6"/>
        <w:gridCol w:w="1925"/>
        <w:gridCol w:w="801"/>
        <w:gridCol w:w="916"/>
        <w:gridCol w:w="720"/>
        <w:gridCol w:w="916"/>
        <w:gridCol w:w="720"/>
        <w:gridCol w:w="807"/>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2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446"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论文（专著）</w:t>
            </w:r>
          </w:p>
          <w:p>
            <w:pPr>
              <w:adjustRightInd w:val="0"/>
              <w:snapToGrid w:val="0"/>
              <w:jc w:val="center"/>
              <w:rPr>
                <w:rFonts w:ascii="Times New Roman" w:hAnsi="Times New Roman" w:cs="Times New Roman"/>
                <w:szCs w:val="21"/>
              </w:rPr>
            </w:pPr>
            <w:r>
              <w:rPr>
                <w:rFonts w:ascii="Times New Roman" w:hAnsi="Times New Roman" w:cs="Times New Roman"/>
                <w:szCs w:val="21"/>
              </w:rPr>
              <w:t>名称/刊名</w:t>
            </w:r>
          </w:p>
          <w:p>
            <w:pPr>
              <w:adjustRightInd w:val="0"/>
              <w:snapToGrid w:val="0"/>
              <w:jc w:val="center"/>
              <w:rPr>
                <w:rFonts w:ascii="Times New Roman" w:hAnsi="Times New Roman" w:cs="Times New Roman"/>
                <w:szCs w:val="21"/>
              </w:rPr>
            </w:pPr>
            <w:r>
              <w:rPr>
                <w:rFonts w:ascii="Times New Roman" w:hAnsi="Times New Roman" w:cs="Times New Roman"/>
                <w:szCs w:val="21"/>
              </w:rPr>
              <w:t>/作者</w:t>
            </w:r>
          </w:p>
        </w:tc>
        <w:tc>
          <w:tcPr>
            <w:tcW w:w="1571"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年卷页码</w:t>
            </w:r>
          </w:p>
          <w:p>
            <w:pPr>
              <w:adjustRightInd w:val="0"/>
              <w:snapToGrid w:val="0"/>
              <w:jc w:val="center"/>
              <w:rPr>
                <w:rFonts w:ascii="Times New Roman" w:hAnsi="Times New Roman" w:cs="Times New Roman"/>
                <w:szCs w:val="21"/>
              </w:rPr>
            </w:pPr>
            <w:r>
              <w:rPr>
                <w:rFonts w:ascii="Times New Roman" w:hAnsi="Times New Roman" w:cs="Times New Roman"/>
                <w:szCs w:val="21"/>
              </w:rPr>
              <w:t>（xx年xx卷</w:t>
            </w:r>
          </w:p>
          <w:p>
            <w:pPr>
              <w:adjustRightInd w:val="0"/>
              <w:snapToGrid w:val="0"/>
              <w:jc w:val="center"/>
              <w:rPr>
                <w:rFonts w:ascii="Times New Roman" w:hAnsi="Times New Roman" w:cs="Times New Roman"/>
                <w:szCs w:val="21"/>
              </w:rPr>
            </w:pPr>
            <w:r>
              <w:rPr>
                <w:rFonts w:ascii="Times New Roman" w:hAnsi="Times New Roman" w:cs="Times New Roman"/>
                <w:szCs w:val="21"/>
              </w:rPr>
              <w:t>xx页）</w:t>
            </w:r>
          </w:p>
        </w:tc>
        <w:tc>
          <w:tcPr>
            <w:tcW w:w="801"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发表时间（年月 日）</w:t>
            </w:r>
          </w:p>
        </w:tc>
        <w:tc>
          <w:tcPr>
            <w:tcW w:w="916"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通讯作者（含共同）</w:t>
            </w:r>
          </w:p>
        </w:tc>
        <w:tc>
          <w:tcPr>
            <w:tcW w:w="72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第一作者（含共同）</w:t>
            </w:r>
          </w:p>
        </w:tc>
        <w:tc>
          <w:tcPr>
            <w:tcW w:w="916"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国内作者</w:t>
            </w:r>
          </w:p>
        </w:tc>
        <w:tc>
          <w:tcPr>
            <w:tcW w:w="72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他引总次数</w:t>
            </w:r>
          </w:p>
        </w:tc>
        <w:tc>
          <w:tcPr>
            <w:tcW w:w="807"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检索数据库</w:t>
            </w:r>
          </w:p>
        </w:tc>
        <w:tc>
          <w:tcPr>
            <w:tcW w:w="720" w:type="dxa"/>
            <w:tcBorders>
              <w:top w:val="single" w:color="auto" w:sz="8" w:space="0"/>
              <w:left w:val="single" w:color="auto" w:sz="8" w:space="0"/>
              <w:bottom w:val="single" w:color="auto" w:sz="8" w:space="0"/>
              <w:right w:val="single" w:color="auto" w:sz="8" w:space="0"/>
            </w:tcBorders>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8" w:hRule="exact"/>
          <w:jc w:val="center"/>
        </w:trPr>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1</w:t>
            </w:r>
          </w:p>
        </w:tc>
        <w:tc>
          <w:tcPr>
            <w:tcW w:w="144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Agreement of ocular biometric measurements in young healthy eyes between IOLMaster 700 and OA-2000 /Sci Rep/ Xuan Liao, Yue Peng, Bo Liu, Qingqing Tan, Changjun Lan</w:t>
            </w:r>
          </w:p>
        </w:tc>
        <w:tc>
          <w:tcPr>
            <w:tcW w:w="157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2020,10(1):3134</w:t>
            </w:r>
          </w:p>
        </w:tc>
        <w:tc>
          <w:tcPr>
            <w:tcW w:w="80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2020.02</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Xuan Liao</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Xuan Liao, Yue Peng, Bo Liu, Qingqing Tan, 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p>
        </w:tc>
        <w:tc>
          <w:tcPr>
            <w:tcW w:w="807"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Pubmed</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2" w:hRule="exact"/>
          <w:jc w:val="center"/>
        </w:trPr>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2</w:t>
            </w:r>
          </w:p>
        </w:tc>
        <w:tc>
          <w:tcPr>
            <w:tcW w:w="144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Evaluation of optical quality: ocular scattering and aberrations in eyes implanted with diffractive multifocal or monofocal intraocular lenses /Curr Eye Res/Xuan Liao, Jia Lin, Jing Tian, Baiwei Wen, Qingqing Tan, Changjun Lan</w:t>
            </w:r>
          </w:p>
        </w:tc>
        <w:tc>
          <w:tcPr>
            <w:tcW w:w="157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2018,43(6): 696-701</w:t>
            </w:r>
          </w:p>
        </w:tc>
        <w:tc>
          <w:tcPr>
            <w:tcW w:w="80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2018.06</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 Jia Lin, Jing Tian, Baiwei Wen, Qingqing Tan, 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p>
        </w:tc>
        <w:tc>
          <w:tcPr>
            <w:tcW w:w="807"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Pubmed</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szCs w:val="21"/>
              </w:rPr>
            </w:pPr>
            <w:r>
              <w:rPr>
                <w:rFonts w:ascii="Times New Roman" w:hAnsi="Times New Roman" w:cs="Times New Roman"/>
                <w:szCs w:val="21"/>
              </w:rPr>
              <w:t>3</w:t>
            </w:r>
          </w:p>
        </w:tc>
        <w:tc>
          <w:tcPr>
            <w:tcW w:w="144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Comprehensive evaluation of retinal image quality in comparing different aspheric to spherical intraocular lens implants/Curr Eye Res/ Xuan Liao, Xiuqi Huang, Changjun Lan, Qingqing Tan, Baiwei Wen, Jia Lin, Jing Tian</w:t>
            </w:r>
          </w:p>
        </w:tc>
        <w:tc>
          <w:tcPr>
            <w:tcW w:w="157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2019,44(10):1098-1103</w:t>
            </w:r>
          </w:p>
        </w:tc>
        <w:tc>
          <w:tcPr>
            <w:tcW w:w="80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2019.05</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 Xiuqi Huang, Changjun Lan, Qingqing Tan, Baiwei Wen, Jia Lin, Jing Tian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p>
        </w:tc>
        <w:tc>
          <w:tcPr>
            <w:tcW w:w="807"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Pubmed</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2" w:hRule="exact"/>
          <w:jc w:val="center"/>
        </w:trPr>
        <w:tc>
          <w:tcPr>
            <w:tcW w:w="720"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szCs w:val="21"/>
              </w:rPr>
            </w:pPr>
            <w:r>
              <w:rPr>
                <w:rFonts w:ascii="Times New Roman" w:hAnsi="Times New Roman" w:cs="Times New Roman"/>
                <w:szCs w:val="21"/>
              </w:rPr>
              <w:t>4</w:t>
            </w:r>
          </w:p>
        </w:tc>
        <w:tc>
          <w:tcPr>
            <w:tcW w:w="144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Evaluation of Visual Quality in Pseudophakic Eyes with Different Ocular Spherical Aberrations/Curr Eye Res/ Xuan Liao, Jia Lin, Qingqing Tan, Baiwei Wen, Jing Tian, Changjun Lan</w:t>
            </w:r>
          </w:p>
        </w:tc>
        <w:tc>
          <w:tcPr>
            <w:tcW w:w="157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2019,44(9):963-967</w:t>
            </w:r>
          </w:p>
        </w:tc>
        <w:tc>
          <w:tcPr>
            <w:tcW w:w="80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2019.09</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Xuan Liao, Jia Lin, Qingqing Tan, Baiwei Wen, Jing Tian, Changjun Lan</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p>
        </w:tc>
        <w:tc>
          <w:tcPr>
            <w:tcW w:w="807"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Pubmed</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 w:val="18"/>
                <w:szCs w:val="18"/>
              </w:rPr>
            </w:pPr>
            <w:r>
              <w:rPr>
                <w:rFonts w:ascii="Times New Roman" w:hAnsi="Times New Roman"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1" w:hRule="exact"/>
          <w:jc w:val="center"/>
        </w:trPr>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Cs w:val="21"/>
              </w:rPr>
              <w:t>5</w:t>
            </w:r>
          </w:p>
        </w:tc>
        <w:tc>
          <w:tcPr>
            <w:tcW w:w="144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Toric人工晶状体与角膜切口矫正白内障低中度角膜散光比较的Meta分析/中华眼科杂志/谭青青,廖萱,兰长骏,林佳,田靖</w:t>
            </w:r>
          </w:p>
        </w:tc>
        <w:tc>
          <w:tcPr>
            <w:tcW w:w="157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2019,55(7):522-530</w:t>
            </w:r>
          </w:p>
        </w:tc>
        <w:tc>
          <w:tcPr>
            <w:tcW w:w="801"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2019.07</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兰长骏</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谭青青</w:t>
            </w:r>
          </w:p>
        </w:tc>
        <w:tc>
          <w:tcPr>
            <w:tcW w:w="916"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谭青青, 廖萱, 兰长骏, 林佳, 田靖</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p>
        </w:tc>
        <w:tc>
          <w:tcPr>
            <w:tcW w:w="807"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知网</w:t>
            </w:r>
          </w:p>
        </w:tc>
        <w:tc>
          <w:tcPr>
            <w:tcW w:w="720" w:type="dxa"/>
            <w:tcBorders>
              <w:top w:val="single" w:color="auto" w:sz="4" w:space="0"/>
              <w:left w:val="single" w:color="auto" w:sz="8" w:space="0"/>
              <w:bottom w:val="single" w:color="auto" w:sz="8" w:space="0"/>
              <w:right w:val="single" w:color="auto" w:sz="8" w:space="0"/>
            </w:tcBorders>
            <w:noWrap/>
          </w:tcPr>
          <w:p>
            <w:pPr>
              <w:jc w:val="center"/>
              <w:rPr>
                <w:rFonts w:ascii="Times New Roman" w:hAnsi="Times New Roman" w:cs="Times New Roman"/>
                <w:szCs w:val="21"/>
              </w:rPr>
            </w:pPr>
            <w:r>
              <w:rPr>
                <w:rFonts w:ascii="Times New Roman" w:hAnsi="Times New Roman" w:cs="Times New Roman"/>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90" w:type="dxa"/>
            <w:gridSpan w:val="7"/>
            <w:tcBorders>
              <w:top w:val="single" w:color="auto" w:sz="4" w:space="0"/>
              <w:left w:val="single" w:color="auto" w:sz="8" w:space="0"/>
              <w:bottom w:val="single" w:color="auto" w:sz="8" w:space="0"/>
              <w:right w:val="single" w:color="auto" w:sz="8" w:space="0"/>
            </w:tcBorders>
            <w:noWrap/>
            <w:vAlign w:val="center"/>
          </w:tcPr>
          <w:p>
            <w:pPr>
              <w:adjustRightInd w:val="0"/>
              <w:spacing w:after="50"/>
              <w:jc w:val="center"/>
              <w:outlineLvl w:val="1"/>
              <w:rPr>
                <w:rFonts w:ascii="Times New Roman" w:hAnsi="Times New Roman" w:eastAsia="等线" w:cs="Times New Roman"/>
                <w:color w:val="000000"/>
                <w:szCs w:val="28"/>
              </w:rPr>
            </w:pPr>
            <w:r>
              <w:rPr>
                <w:rFonts w:ascii="Times New Roman" w:hAnsi="Times New Roman" w:cs="Times New Roman"/>
                <w:color w:val="000000"/>
                <w:szCs w:val="28"/>
              </w:rPr>
              <w:t>合  计</w:t>
            </w:r>
          </w:p>
        </w:tc>
        <w:tc>
          <w:tcPr>
            <w:tcW w:w="720" w:type="dxa"/>
            <w:tcBorders>
              <w:top w:val="single" w:color="auto" w:sz="4" w:space="0"/>
              <w:left w:val="single" w:color="auto" w:sz="8" w:space="0"/>
              <w:bottom w:val="single" w:color="auto" w:sz="8" w:space="0"/>
              <w:right w:val="single" w:color="auto" w:sz="8" w:space="0"/>
            </w:tcBorders>
            <w:noWrap/>
            <w:vAlign w:val="center"/>
          </w:tcPr>
          <w:p>
            <w:pPr>
              <w:adjustRightInd w:val="0"/>
              <w:spacing w:after="50"/>
              <w:jc w:val="center"/>
              <w:outlineLvl w:val="1"/>
              <w:rPr>
                <w:rFonts w:ascii="Times New Roman" w:hAnsi="Times New Roman" w:eastAsia="等线" w:cs="Times New Roman"/>
                <w:color w:val="000000"/>
                <w:szCs w:val="28"/>
              </w:rPr>
            </w:pPr>
          </w:p>
        </w:tc>
        <w:tc>
          <w:tcPr>
            <w:tcW w:w="807" w:type="dxa"/>
            <w:tcBorders>
              <w:top w:val="single" w:color="auto" w:sz="4" w:space="0"/>
              <w:left w:val="single" w:color="auto" w:sz="8" w:space="0"/>
              <w:bottom w:val="single" w:color="auto" w:sz="8" w:space="0"/>
              <w:right w:val="single" w:color="auto" w:sz="8" w:space="0"/>
            </w:tcBorders>
            <w:noWrap/>
            <w:vAlign w:val="center"/>
          </w:tcPr>
          <w:p>
            <w:pPr>
              <w:adjustRightInd w:val="0"/>
              <w:spacing w:after="50"/>
              <w:jc w:val="center"/>
              <w:outlineLvl w:val="1"/>
              <w:rPr>
                <w:rFonts w:ascii="Times New Roman" w:hAnsi="Times New Roman" w:eastAsia="等线" w:cs="Times New Roman"/>
                <w:color w:val="000000"/>
                <w:szCs w:val="28"/>
              </w:rPr>
            </w:pPr>
          </w:p>
        </w:tc>
        <w:tc>
          <w:tcPr>
            <w:tcW w:w="720" w:type="dxa"/>
            <w:tcBorders>
              <w:top w:val="single" w:color="auto" w:sz="4" w:space="0"/>
              <w:left w:val="single" w:color="auto" w:sz="8" w:space="0"/>
              <w:bottom w:val="single" w:color="auto" w:sz="8" w:space="0"/>
              <w:right w:val="single" w:color="auto" w:sz="8" w:space="0"/>
            </w:tcBorders>
            <w:noWrap/>
          </w:tcPr>
          <w:p>
            <w:pPr>
              <w:adjustRightInd w:val="0"/>
              <w:spacing w:after="50"/>
              <w:jc w:val="center"/>
              <w:outlineLvl w:val="1"/>
              <w:rPr>
                <w:rFonts w:ascii="Times New Roman" w:hAnsi="Times New Roman" w:eastAsia="等线" w:cs="Times New Roman"/>
                <w:color w:val="000000"/>
                <w:szCs w:val="28"/>
              </w:rPr>
            </w:pPr>
          </w:p>
        </w:tc>
      </w:tr>
    </w:tbl>
    <w:p>
      <w:pPr>
        <w:rPr>
          <w:rFonts w:ascii="Times New Roman" w:hAnsi="Times New Roman" w:cs="Times New Roman"/>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244355"/>
      <w:docPartList>
        <w:docPartGallery w:val="Quick Parts"/>
      </w:docPartList>
    </w:sdtPr>
    <w:sdtContent>
      <w:p>
        <w:pPr>
          <w:pStyle w:val="7"/>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99"/>
    <w:rsid w:val="000043C3"/>
    <w:rsid w:val="00015B9E"/>
    <w:rsid w:val="0002530A"/>
    <w:rsid w:val="00035AF0"/>
    <w:rsid w:val="000376A9"/>
    <w:rsid w:val="00051C28"/>
    <w:rsid w:val="0005659D"/>
    <w:rsid w:val="00064029"/>
    <w:rsid w:val="00067C2E"/>
    <w:rsid w:val="00087113"/>
    <w:rsid w:val="00093855"/>
    <w:rsid w:val="000A0A06"/>
    <w:rsid w:val="000A2CB6"/>
    <w:rsid w:val="000A41D7"/>
    <w:rsid w:val="000A6E28"/>
    <w:rsid w:val="000F1609"/>
    <w:rsid w:val="000F1C9D"/>
    <w:rsid w:val="00102DC8"/>
    <w:rsid w:val="00102E98"/>
    <w:rsid w:val="00113D45"/>
    <w:rsid w:val="0014575B"/>
    <w:rsid w:val="00172072"/>
    <w:rsid w:val="00174B4C"/>
    <w:rsid w:val="001A1D53"/>
    <w:rsid w:val="001A52BE"/>
    <w:rsid w:val="001B6319"/>
    <w:rsid w:val="001C1855"/>
    <w:rsid w:val="001C6B12"/>
    <w:rsid w:val="001D1758"/>
    <w:rsid w:val="001D667A"/>
    <w:rsid w:val="001E766F"/>
    <w:rsid w:val="001F50AC"/>
    <w:rsid w:val="00200E65"/>
    <w:rsid w:val="00201EF0"/>
    <w:rsid w:val="0020491F"/>
    <w:rsid w:val="00213659"/>
    <w:rsid w:val="00214884"/>
    <w:rsid w:val="00222793"/>
    <w:rsid w:val="002232F0"/>
    <w:rsid w:val="00224CBE"/>
    <w:rsid w:val="002544ED"/>
    <w:rsid w:val="002707B3"/>
    <w:rsid w:val="0027567D"/>
    <w:rsid w:val="00285AE1"/>
    <w:rsid w:val="002B051B"/>
    <w:rsid w:val="002E6F15"/>
    <w:rsid w:val="002F09A3"/>
    <w:rsid w:val="002F7418"/>
    <w:rsid w:val="002F795E"/>
    <w:rsid w:val="00300BA3"/>
    <w:rsid w:val="00321155"/>
    <w:rsid w:val="00352855"/>
    <w:rsid w:val="00357232"/>
    <w:rsid w:val="00375F2F"/>
    <w:rsid w:val="0038122F"/>
    <w:rsid w:val="003854F3"/>
    <w:rsid w:val="00395680"/>
    <w:rsid w:val="00397E7A"/>
    <w:rsid w:val="003A4D17"/>
    <w:rsid w:val="003A5E70"/>
    <w:rsid w:val="003A6AC0"/>
    <w:rsid w:val="003B427A"/>
    <w:rsid w:val="003B7AD6"/>
    <w:rsid w:val="003C70AF"/>
    <w:rsid w:val="003D540D"/>
    <w:rsid w:val="003E1B88"/>
    <w:rsid w:val="003F6442"/>
    <w:rsid w:val="0040158C"/>
    <w:rsid w:val="00401AFB"/>
    <w:rsid w:val="004020AA"/>
    <w:rsid w:val="00415835"/>
    <w:rsid w:val="00421478"/>
    <w:rsid w:val="0042519F"/>
    <w:rsid w:val="0043663F"/>
    <w:rsid w:val="004449CF"/>
    <w:rsid w:val="0044518D"/>
    <w:rsid w:val="0044698D"/>
    <w:rsid w:val="004513BB"/>
    <w:rsid w:val="00492DFE"/>
    <w:rsid w:val="004A0D0A"/>
    <w:rsid w:val="004E1196"/>
    <w:rsid w:val="004F3BB9"/>
    <w:rsid w:val="00507971"/>
    <w:rsid w:val="00541239"/>
    <w:rsid w:val="00546EF5"/>
    <w:rsid w:val="00553501"/>
    <w:rsid w:val="00566D41"/>
    <w:rsid w:val="0057277E"/>
    <w:rsid w:val="00581B48"/>
    <w:rsid w:val="00595935"/>
    <w:rsid w:val="005C37F2"/>
    <w:rsid w:val="005D275D"/>
    <w:rsid w:val="006138C0"/>
    <w:rsid w:val="00617476"/>
    <w:rsid w:val="00620206"/>
    <w:rsid w:val="00622219"/>
    <w:rsid w:val="00623063"/>
    <w:rsid w:val="00633358"/>
    <w:rsid w:val="0063578E"/>
    <w:rsid w:val="00637B90"/>
    <w:rsid w:val="00643AED"/>
    <w:rsid w:val="0064496A"/>
    <w:rsid w:val="00661D78"/>
    <w:rsid w:val="00677991"/>
    <w:rsid w:val="006871A4"/>
    <w:rsid w:val="00696B00"/>
    <w:rsid w:val="006970FB"/>
    <w:rsid w:val="006A2551"/>
    <w:rsid w:val="006B3277"/>
    <w:rsid w:val="006D0243"/>
    <w:rsid w:val="006D07EC"/>
    <w:rsid w:val="006F12ED"/>
    <w:rsid w:val="006F13F5"/>
    <w:rsid w:val="006F1AA8"/>
    <w:rsid w:val="00710349"/>
    <w:rsid w:val="007156F0"/>
    <w:rsid w:val="0073240D"/>
    <w:rsid w:val="00746FCC"/>
    <w:rsid w:val="00750E97"/>
    <w:rsid w:val="007535FD"/>
    <w:rsid w:val="007605F6"/>
    <w:rsid w:val="00760E3C"/>
    <w:rsid w:val="007701AA"/>
    <w:rsid w:val="00787405"/>
    <w:rsid w:val="0079514A"/>
    <w:rsid w:val="007B4F11"/>
    <w:rsid w:val="007E148B"/>
    <w:rsid w:val="007F3EF8"/>
    <w:rsid w:val="00803E75"/>
    <w:rsid w:val="008132DF"/>
    <w:rsid w:val="008134A3"/>
    <w:rsid w:val="00814672"/>
    <w:rsid w:val="0082333F"/>
    <w:rsid w:val="008340F8"/>
    <w:rsid w:val="00834416"/>
    <w:rsid w:val="00836BF1"/>
    <w:rsid w:val="00847651"/>
    <w:rsid w:val="00854E45"/>
    <w:rsid w:val="00856C63"/>
    <w:rsid w:val="008670E6"/>
    <w:rsid w:val="00875B21"/>
    <w:rsid w:val="00875ECB"/>
    <w:rsid w:val="00892D25"/>
    <w:rsid w:val="008A041E"/>
    <w:rsid w:val="008A6986"/>
    <w:rsid w:val="008B24A2"/>
    <w:rsid w:val="008B320C"/>
    <w:rsid w:val="008D30D6"/>
    <w:rsid w:val="008D56CC"/>
    <w:rsid w:val="008E4845"/>
    <w:rsid w:val="008F5459"/>
    <w:rsid w:val="008F57C0"/>
    <w:rsid w:val="008F5A56"/>
    <w:rsid w:val="008F7D99"/>
    <w:rsid w:val="008F7FC4"/>
    <w:rsid w:val="009065BF"/>
    <w:rsid w:val="009116C6"/>
    <w:rsid w:val="009307B4"/>
    <w:rsid w:val="00941708"/>
    <w:rsid w:val="00972A9E"/>
    <w:rsid w:val="00983DDF"/>
    <w:rsid w:val="009B2486"/>
    <w:rsid w:val="009C063B"/>
    <w:rsid w:val="009C24DA"/>
    <w:rsid w:val="009C2AC5"/>
    <w:rsid w:val="009C4FD2"/>
    <w:rsid w:val="009D0562"/>
    <w:rsid w:val="009D5E23"/>
    <w:rsid w:val="009F5A71"/>
    <w:rsid w:val="00A0383B"/>
    <w:rsid w:val="00A06209"/>
    <w:rsid w:val="00A13087"/>
    <w:rsid w:val="00A16BF3"/>
    <w:rsid w:val="00A226FF"/>
    <w:rsid w:val="00A22DE7"/>
    <w:rsid w:val="00A23539"/>
    <w:rsid w:val="00A23FF6"/>
    <w:rsid w:val="00A3342F"/>
    <w:rsid w:val="00A42CA3"/>
    <w:rsid w:val="00A53831"/>
    <w:rsid w:val="00A60138"/>
    <w:rsid w:val="00A61914"/>
    <w:rsid w:val="00AA003C"/>
    <w:rsid w:val="00AA7FA0"/>
    <w:rsid w:val="00AC0551"/>
    <w:rsid w:val="00AC0FFB"/>
    <w:rsid w:val="00AD06B6"/>
    <w:rsid w:val="00AE0EEC"/>
    <w:rsid w:val="00AE1357"/>
    <w:rsid w:val="00AE4C77"/>
    <w:rsid w:val="00AE4FE9"/>
    <w:rsid w:val="00AE63D4"/>
    <w:rsid w:val="00AF6602"/>
    <w:rsid w:val="00AF7188"/>
    <w:rsid w:val="00B426F9"/>
    <w:rsid w:val="00B50B70"/>
    <w:rsid w:val="00B52A9F"/>
    <w:rsid w:val="00B539BE"/>
    <w:rsid w:val="00B802C6"/>
    <w:rsid w:val="00B83AA8"/>
    <w:rsid w:val="00B854AE"/>
    <w:rsid w:val="00B94184"/>
    <w:rsid w:val="00BC6AFA"/>
    <w:rsid w:val="00BD00CE"/>
    <w:rsid w:val="00BD6F3E"/>
    <w:rsid w:val="00BF1987"/>
    <w:rsid w:val="00C11C70"/>
    <w:rsid w:val="00C213FD"/>
    <w:rsid w:val="00C30111"/>
    <w:rsid w:val="00C30568"/>
    <w:rsid w:val="00C41A1C"/>
    <w:rsid w:val="00C471C9"/>
    <w:rsid w:val="00C555B0"/>
    <w:rsid w:val="00C65E99"/>
    <w:rsid w:val="00C80141"/>
    <w:rsid w:val="00C82ACA"/>
    <w:rsid w:val="00C82C89"/>
    <w:rsid w:val="00C91CBC"/>
    <w:rsid w:val="00C96BBE"/>
    <w:rsid w:val="00C96F2A"/>
    <w:rsid w:val="00CA14FB"/>
    <w:rsid w:val="00CC7461"/>
    <w:rsid w:val="00CE2369"/>
    <w:rsid w:val="00CE4427"/>
    <w:rsid w:val="00D17E1B"/>
    <w:rsid w:val="00D223EB"/>
    <w:rsid w:val="00D2382D"/>
    <w:rsid w:val="00D24601"/>
    <w:rsid w:val="00D24E4D"/>
    <w:rsid w:val="00D4173D"/>
    <w:rsid w:val="00D42CA6"/>
    <w:rsid w:val="00D43EF1"/>
    <w:rsid w:val="00D51C0E"/>
    <w:rsid w:val="00D52C5A"/>
    <w:rsid w:val="00D57FCD"/>
    <w:rsid w:val="00D61BAD"/>
    <w:rsid w:val="00D7369B"/>
    <w:rsid w:val="00D80AFD"/>
    <w:rsid w:val="00D828BA"/>
    <w:rsid w:val="00D82B10"/>
    <w:rsid w:val="00D902CD"/>
    <w:rsid w:val="00D93081"/>
    <w:rsid w:val="00DA3004"/>
    <w:rsid w:val="00DA4C9B"/>
    <w:rsid w:val="00DB77F0"/>
    <w:rsid w:val="00DE06B6"/>
    <w:rsid w:val="00DE13FB"/>
    <w:rsid w:val="00DF33FB"/>
    <w:rsid w:val="00E04E59"/>
    <w:rsid w:val="00E1399A"/>
    <w:rsid w:val="00E14A70"/>
    <w:rsid w:val="00E15431"/>
    <w:rsid w:val="00E16B0B"/>
    <w:rsid w:val="00E3147A"/>
    <w:rsid w:val="00E31B30"/>
    <w:rsid w:val="00E31DDA"/>
    <w:rsid w:val="00E35069"/>
    <w:rsid w:val="00E40438"/>
    <w:rsid w:val="00E63B43"/>
    <w:rsid w:val="00E73983"/>
    <w:rsid w:val="00E81FD3"/>
    <w:rsid w:val="00E874BA"/>
    <w:rsid w:val="00EB19C9"/>
    <w:rsid w:val="00EC531D"/>
    <w:rsid w:val="00EC694F"/>
    <w:rsid w:val="00EE207C"/>
    <w:rsid w:val="00EE723E"/>
    <w:rsid w:val="00EF5B99"/>
    <w:rsid w:val="00F10543"/>
    <w:rsid w:val="00F12955"/>
    <w:rsid w:val="00F131C5"/>
    <w:rsid w:val="00F2495D"/>
    <w:rsid w:val="00F30A46"/>
    <w:rsid w:val="00F37469"/>
    <w:rsid w:val="00F7621C"/>
    <w:rsid w:val="00F83EEE"/>
    <w:rsid w:val="00F90C65"/>
    <w:rsid w:val="00F927AC"/>
    <w:rsid w:val="00F9799A"/>
    <w:rsid w:val="00FB3518"/>
    <w:rsid w:val="00FB5D1A"/>
    <w:rsid w:val="00FB7BC6"/>
    <w:rsid w:val="00FD00A0"/>
    <w:rsid w:val="00FD5D4A"/>
    <w:rsid w:val="00FE02EA"/>
    <w:rsid w:val="00FF253D"/>
    <w:rsid w:val="00FF719F"/>
    <w:rsid w:val="160919E7"/>
    <w:rsid w:val="21A516FB"/>
    <w:rsid w:val="37D1314F"/>
    <w:rsid w:val="50822DB6"/>
    <w:rsid w:val="638F4022"/>
    <w:rsid w:val="7982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qFormat/>
    <w:uiPriority w:val="0"/>
    <w:pPr>
      <w:jc w:val="left"/>
    </w:pPr>
  </w:style>
  <w:style w:type="paragraph" w:styleId="6">
    <w:name w:val="Plain Text"/>
    <w:basedOn w:val="1"/>
    <w:qFormat/>
    <w:uiPriority w:val="0"/>
    <w:pPr>
      <w:spacing w:line="360" w:lineRule="auto"/>
      <w:ind w:firstLine="200" w:firstLineChars="200"/>
    </w:pPr>
    <w:rPr>
      <w:rFonts w:ascii="仿宋_GB2312" w:hAnsi="仿宋_GB2312" w:cs="Times New Roman"/>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5"/>
    <w:qFormat/>
    <w:uiPriority w:val="0"/>
    <w:rPr>
      <w:b/>
      <w:bCs/>
    </w:rPr>
  </w:style>
  <w:style w:type="character" w:styleId="12">
    <w:name w:val="annotation reference"/>
    <w:basedOn w:val="11"/>
    <w:qFormat/>
    <w:uiPriority w:val="0"/>
    <w:rPr>
      <w:sz w:val="21"/>
      <w:szCs w:val="21"/>
    </w:rPr>
  </w:style>
  <w:style w:type="paragraph" w:customStyle="1" w:styleId="13">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lang w:val="en-US" w:eastAsia="zh-CN" w:bidi="ar-SA"/>
    </w:rPr>
  </w:style>
  <w:style w:type="character" w:customStyle="1" w:styleId="14">
    <w:name w:val="批注文字 字符"/>
    <w:basedOn w:val="11"/>
    <w:link w:val="5"/>
    <w:qFormat/>
    <w:uiPriority w:val="0"/>
    <w:rPr>
      <w:rFonts w:ascii="Calibri" w:hAnsi="Calibri" w:cs="Arial"/>
      <w:kern w:val="2"/>
      <w:sz w:val="21"/>
      <w:szCs w:val="22"/>
    </w:rPr>
  </w:style>
  <w:style w:type="character" w:customStyle="1" w:styleId="15">
    <w:name w:val="批注主题 字符"/>
    <w:basedOn w:val="14"/>
    <w:link w:val="9"/>
    <w:qFormat/>
    <w:uiPriority w:val="0"/>
    <w:rPr>
      <w:rFonts w:ascii="Calibri" w:hAnsi="Calibri" w:cs="Arial"/>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0D0D-28CA-472A-875C-2E0D6AB9BAE5}">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7</Pages>
  <Words>3001</Words>
  <Characters>4129</Characters>
  <Lines>14</Lines>
  <Paragraphs>9</Paragraphs>
  <TotalTime>1</TotalTime>
  <ScaleCrop>false</ScaleCrop>
  <LinksUpToDate>false</LinksUpToDate>
  <CharactersWithSpaces>4477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2022-04-14T11:25:00Z</dcterms:created>
  <dc:creator>WRGHO</dc:creator>
  <cp:lastModifiedBy>易燃，易爆炸</cp:lastModifiedBy>
  <dcterms:modified xsi:type="dcterms:W3CDTF">2022-04-21T01:18:10Z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65928D691C7241A783B271A291A61D89</vt:lpwstr>
  </property>
</Properties>
</file>