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bCs/>
          <w:spacing w:val="-14"/>
          <w:w w:val="85"/>
          <w:sz w:val="44"/>
          <w:szCs w:val="44"/>
        </w:rPr>
      </w:pPr>
      <w:r>
        <w:rPr>
          <w:rFonts w:hint="eastAsia" w:ascii="方正小标宋简体" w:eastAsia="方正小标宋简体"/>
          <w:b/>
          <w:bCs/>
          <w:spacing w:val="-14"/>
          <w:w w:val="85"/>
          <w:sz w:val="44"/>
          <w:szCs w:val="44"/>
        </w:rPr>
        <w:t>202</w:t>
      </w:r>
      <w:r>
        <w:rPr>
          <w:rFonts w:ascii="方正小标宋简体" w:eastAsia="方正小标宋简体"/>
          <w:b/>
          <w:bCs/>
          <w:spacing w:val="-14"/>
          <w:w w:val="85"/>
          <w:sz w:val="44"/>
          <w:szCs w:val="44"/>
          <w:lang w:val="en-US" w:eastAsia="zh-CN"/>
        </w:rPr>
        <w:t>2</w:t>
      </w:r>
      <w:r>
        <w:rPr>
          <w:rFonts w:hint="eastAsia" w:ascii="方正小标宋简体" w:eastAsia="方正小标宋简体"/>
          <w:b/>
          <w:bCs/>
          <w:spacing w:val="-14"/>
          <w:w w:val="85"/>
          <w:sz w:val="44"/>
          <w:szCs w:val="44"/>
        </w:rPr>
        <w:t>年度四川省科学技术奖</w:t>
      </w:r>
      <w:r>
        <w:rPr>
          <w:rFonts w:hint="eastAsia" w:ascii="方正小标宋简体" w:eastAsia="方正小标宋简体"/>
          <w:b/>
          <w:bCs/>
          <w:spacing w:val="-14"/>
          <w:w w:val="85"/>
          <w:sz w:val="44"/>
          <w:szCs w:val="44"/>
          <w:lang w:eastAsia="zh-CN"/>
        </w:rPr>
        <w:t>提名</w:t>
      </w:r>
      <w:r>
        <w:rPr>
          <w:rFonts w:hint="eastAsia" w:ascii="方正小标宋简体" w:eastAsia="方正小标宋简体"/>
          <w:b/>
          <w:bCs/>
          <w:spacing w:val="-14"/>
          <w:w w:val="85"/>
          <w:sz w:val="44"/>
          <w:szCs w:val="44"/>
        </w:rPr>
        <w:t>公示情况表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bCs/>
          <w:spacing w:val="-14"/>
          <w:w w:val="85"/>
          <w:sz w:val="44"/>
          <w:szCs w:val="44"/>
          <w:lang w:eastAsia="zh-CN"/>
        </w:rPr>
      </w:pPr>
      <w:r>
        <w:rPr>
          <w:rFonts w:hint="eastAsia" w:ascii="方正小标宋简体" w:eastAsia="方正小标宋简体"/>
          <w:b/>
          <w:bCs/>
          <w:spacing w:val="-14"/>
          <w:w w:val="85"/>
          <w:sz w:val="44"/>
          <w:szCs w:val="44"/>
          <w:lang w:eastAsia="zh-CN"/>
        </w:rPr>
        <w:t>（科技进步奖）</w:t>
      </w:r>
    </w:p>
    <w:p>
      <w:pPr>
        <w:widowControl w:val="0"/>
        <w:spacing w:line="360" w:lineRule="auto"/>
        <w:ind w:firstLine="0"/>
        <w:jc w:val="center"/>
        <w:outlineLvl w:val="1"/>
        <w:rPr>
          <w:rFonts w:hint="eastAsia" w:ascii="宋体" w:eastAsia="宋体" w:cs="Times New Roman"/>
          <w:b/>
          <w:color w:val="000000"/>
          <w:kern w:val="0"/>
          <w:sz w:val="28"/>
          <w:lang w:val="en-US" w:eastAsia="zh-CN" w:bidi="ar-SA"/>
        </w:rPr>
      </w:pPr>
    </w:p>
    <w:p>
      <w:pPr>
        <w:widowControl w:val="0"/>
        <w:spacing w:line="360" w:lineRule="auto"/>
        <w:ind w:firstLine="0"/>
        <w:jc w:val="center"/>
        <w:outlineLvl w:val="1"/>
        <w:rPr>
          <w:rFonts w:hint="eastAsia" w:ascii="方正小标宋简体" w:eastAsia="方正小标宋简体"/>
          <w:spacing w:val="-14"/>
          <w:w w:val="85"/>
          <w:sz w:val="44"/>
          <w:szCs w:val="44"/>
          <w:lang w:eastAsia="zh-CN"/>
        </w:rPr>
      </w:pPr>
      <w:r>
        <w:rPr>
          <w:rFonts w:hint="eastAsia" w:ascii="宋体" w:eastAsia="宋体" w:cs="Times New Roman"/>
          <w:b/>
          <w:color w:val="000000"/>
          <w:kern w:val="0"/>
          <w:sz w:val="28"/>
          <w:lang w:val="en-US" w:eastAsia="zh-CN" w:bidi="ar-SA"/>
        </w:rPr>
        <w:t>一、项目基本情况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肝门部胆管癌根治性切除的微创化探索与临床应用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川北医学院附属医院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default"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李敬东、熊永福、杨刚、李伟男、唐涛</w:t>
            </w:r>
            <w:r>
              <w:rPr>
                <w:rFonts w:hint="eastAsia" w:ascii="宋体" w:cs="Times New Roman"/>
                <w:color w:val="000000"/>
                <w:kern w:val="2"/>
                <w:sz w:val="21"/>
                <w:lang w:val="en-US" w:eastAsia="zh-CN" w:bidi="ar-SA"/>
              </w:rPr>
              <w:t>、朱建交、武国、汤朝晖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widowControl w:val="0"/>
              <w:spacing w:line="390" w:lineRule="exact"/>
              <w:ind w:firstLine="0"/>
              <w:jc w:val="center"/>
              <w:rPr>
                <w:rFonts w:hint="eastAsia"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numPr>
                <w:ilvl w:val="0"/>
                <w:numId w:val="1"/>
              </w:numPr>
              <w:rPr>
                <w:rFonts w:hint="eastAsia"/>
                <w:b/>
                <w:bCs/>
              </w:rPr>
            </w:pPr>
            <w:r>
              <w:rPr>
                <w:rFonts w:hint="eastAsia"/>
                <w:b/>
                <w:bCs/>
              </w:rPr>
              <w:t>科学技术领域</w:t>
            </w:r>
          </w:p>
          <w:p>
            <w:pPr>
              <w:numPr>
                <w:ilvl w:val="0"/>
                <w:numId w:val="0"/>
              </w:numPr>
              <w:ind w:firstLine="420" w:firstLineChars="0"/>
              <w:rPr>
                <w:rFonts w:hint="eastAsia" w:eastAsiaTheme="minorEastAsia"/>
                <w:lang w:eastAsia="zh-CN"/>
              </w:rPr>
            </w:pPr>
            <w:r>
              <w:rPr>
                <w:rFonts w:hint="eastAsia"/>
              </w:rPr>
              <w:t>本项目属于外科学范围内创新手术方式的临床应用研究，主要研究成果是手术操作流程、难点要点应对策略、技术方法以及临床循证依据。本课题团队作为腔镜HC根治性切除的先行者和倡导者，是提出和推动腔镜HC根治性切除应用的最主要力量，一系列手术策略、方法、流程及临床研究成果极大地推动腔镜HC根治性切除的发展，加速了腔镜HC根治性切除的临床应用。</w:t>
            </w:r>
          </w:p>
          <w:p>
            <w:pPr>
              <w:numPr>
                <w:ilvl w:val="0"/>
                <w:numId w:val="1"/>
              </w:numPr>
              <w:rPr>
                <w:rFonts w:hint="eastAsia"/>
              </w:rPr>
            </w:pPr>
            <w:r>
              <w:rPr>
                <w:rFonts w:hint="eastAsia"/>
                <w:b/>
                <w:bCs/>
              </w:rPr>
              <w:t>针对手术难点要点提出了一系列模块化应对策略</w:t>
            </w:r>
          </w:p>
          <w:p>
            <w:pPr>
              <w:numPr>
                <w:ilvl w:val="0"/>
                <w:numId w:val="0"/>
              </w:numPr>
              <w:ind w:firstLine="420" w:firstLineChars="0"/>
              <w:rPr>
                <w:rFonts w:hint="eastAsia" w:eastAsiaTheme="minorEastAsia"/>
                <w:lang w:eastAsia="zh-CN"/>
              </w:rPr>
            </w:pPr>
            <w:r>
              <w:rPr>
                <w:rFonts w:hint="eastAsia"/>
              </w:rPr>
              <w:t>本课题团队在腔镜肝断面出血控制与止血、腔镜胆道肿瘤术中触感与根治性判断、胆道整形与高位胆道重建方法、腔镜下尾状叶切除等方面探索并总结出了一系列操作策略，简化了步骤，降低了难度，在保证手术安全性的前提下提高了腔镜HC根治性切除的可行性，极大推动了腔镜HC根治性切除发展。</w:t>
            </w:r>
          </w:p>
          <w:p>
            <w:pPr>
              <w:numPr>
                <w:ilvl w:val="0"/>
                <w:numId w:val="1"/>
              </w:numPr>
              <w:rPr>
                <w:rFonts w:hint="eastAsia"/>
                <w:b/>
                <w:bCs/>
              </w:rPr>
            </w:pPr>
            <w:r>
              <w:rPr>
                <w:rFonts w:hint="eastAsia"/>
                <w:b/>
                <w:bCs/>
              </w:rPr>
              <w:t>牵头制定了第一个操作流程专家建议</w:t>
            </w:r>
          </w:p>
          <w:p>
            <w:pPr>
              <w:numPr>
                <w:ilvl w:val="0"/>
                <w:numId w:val="0"/>
              </w:numPr>
              <w:ind w:firstLine="420" w:firstLineChars="0"/>
              <w:rPr>
                <w:rFonts w:hint="eastAsia"/>
              </w:rPr>
            </w:pPr>
            <w:r>
              <w:rPr>
                <w:rFonts w:hint="eastAsia"/>
              </w:rPr>
              <w:t>本课题团队牵头成立了腹腔镜肝门部胆管癌根治性切除术操作规范专家组。联合中华外科杂志编辑部组织国内胆道外科医生，遵循肝门部胆管癌治疗原则和腹腔镜操作相应的规范技术，制定了腹腔镜HC根治性切除操作流程专家建议，便于临床借鉴及规范化应用。该专家建议的发表对推动腔镜HC根治性切除进一步发展起到了关键性的促进作用。</w:t>
            </w:r>
          </w:p>
          <w:p>
            <w:pPr>
              <w:numPr>
                <w:ilvl w:val="0"/>
                <w:numId w:val="0"/>
              </w:numPr>
              <w:ind w:firstLine="420" w:firstLineChars="0"/>
              <w:rPr>
                <w:rFonts w:hint="eastAsia" w:ascii="Calibri" w:hAnsi="Calibri" w:eastAsia="宋体" w:cs="Arial"/>
                <w:kern w:val="2"/>
                <w:sz w:val="21"/>
                <w:szCs w:val="22"/>
                <w:lang w:val="en-US" w:eastAsia="zh-CN" w:bidi="ar-SA"/>
              </w:rPr>
            </w:pPr>
            <w:r>
              <w:rPr>
                <w:rFonts w:hint="eastAsia" w:ascii="Calibri" w:hAnsi="Calibri" w:eastAsia="宋体" w:cs="Arial"/>
                <w:kern w:val="2"/>
                <w:sz w:val="21"/>
                <w:szCs w:val="22"/>
                <w:lang w:val="en-US" w:eastAsia="zh-CN" w:bidi="ar-SA"/>
              </w:rPr>
              <w:t>2021年在《Frontiers in Surgery》上发表了世界上第一篇英文版关于腹腔镜下肝门部胆管癌根治术的操作建议。</w:t>
            </w:r>
          </w:p>
          <w:p>
            <w:pPr>
              <w:numPr>
                <w:ilvl w:val="0"/>
                <w:numId w:val="1"/>
              </w:numPr>
              <w:rPr>
                <w:rFonts w:hint="eastAsia"/>
                <w:b/>
                <w:bCs/>
              </w:rPr>
            </w:pPr>
            <w:r>
              <w:rPr>
                <w:rFonts w:hint="eastAsia"/>
                <w:b/>
                <w:bCs/>
              </w:rPr>
              <w:t>开展了第一个全国多中心临床研究</w:t>
            </w:r>
          </w:p>
          <w:p>
            <w:pPr>
              <w:numPr>
                <w:ilvl w:val="0"/>
                <w:numId w:val="0"/>
              </w:numPr>
              <w:ind w:firstLine="420" w:firstLineChars="0"/>
              <w:rPr>
                <w:rFonts w:hint="eastAsia" w:eastAsiaTheme="minorEastAsia"/>
                <w:lang w:eastAsia="zh-CN"/>
              </w:rPr>
            </w:pPr>
            <w:r>
              <w:rPr>
                <w:rFonts w:hint="eastAsia"/>
              </w:rPr>
              <w:t>针对腔镜HC根治性切除难度大、风险高，手术可行性与安全性备受争议的事实。本课题团队牵头开展了第一个多中心临床研究，在全国范围内共纳入10家胆道疾病诊治中心，针对腔镜HC根治性切除的安全性、可行性及肿瘤学预后进行了分析。该研究的进行及后续成果的发表极大推动了腔镜HC根治性切除在全国的开展，也为后续前瞻性研究提供了循证支持。</w:t>
            </w:r>
          </w:p>
          <w:p>
            <w:pPr>
              <w:numPr>
                <w:ilvl w:val="0"/>
                <w:numId w:val="1"/>
              </w:numPr>
              <w:rPr>
                <w:b/>
                <w:bCs/>
              </w:rPr>
            </w:pPr>
            <w:r>
              <w:rPr>
                <w:rFonts w:hint="eastAsia"/>
                <w:b/>
                <w:bCs/>
              </w:rPr>
              <w:t>特点及应用推广情况</w:t>
            </w:r>
          </w:p>
          <w:p>
            <w:pPr>
              <w:numPr>
                <w:ilvl w:val="0"/>
                <w:numId w:val="0"/>
              </w:numPr>
              <w:ind w:firstLine="420" w:firstLineChars="0"/>
              <w:rPr>
                <w:rFonts w:hint="eastAsia"/>
              </w:rPr>
            </w:pPr>
            <w:r>
              <w:rPr>
                <w:rFonts w:hint="eastAsia"/>
              </w:rPr>
              <w:t>本课题的实施为HC这一复杂胆道肿瘤的治疗探索出一种新的手术方式。该方式在控制创伤、降低炎症免疫反应、加快术后康复等方面具有极大的潜在价值，有望成为今后HC根治性手术的主要选择。本项目的实施促进了国内外相关临床专家的学术交流，成立了腔镜HC根治性切除专家组，制定并发表了《腹腔镜肝门部胆管癌根治性切除操作流程专家建议》。本课项目通过开展全国多中心临床研究，部分解决学术界关于腔镜HC根治性切除安全性、可行性的争议，为该手术方式的临床应用及后续前瞻性、随机对照研究奠定了基础。</w:t>
            </w:r>
          </w:p>
          <w:p>
            <w:pPr>
              <w:numPr>
                <w:ilvl w:val="0"/>
                <w:numId w:val="0"/>
              </w:numPr>
              <w:ind w:firstLine="420" w:firstLineChars="0"/>
              <w:rPr>
                <w:rFonts w:hint="eastAsia" w:ascii="宋体" w:eastAsia="宋体" w:cs="Times New Roman"/>
                <w:color w:val="000000"/>
                <w:kern w:val="2"/>
                <w:sz w:val="21"/>
                <w:lang w:val="en-US" w:eastAsia="zh-CN" w:bidi="ar-SA"/>
              </w:rPr>
            </w:pPr>
            <w:r>
              <w:rPr>
                <w:rFonts w:hint="eastAsia"/>
              </w:rPr>
              <w:t>目前，越来越多的患者基于本课题团队的研究成果，在不同医院接受了腔镜下的HC根治性切除从而享受到微创化手术带来的益处。本项目研究所形成的一系列手术策略、方法、流程及临床成果，已经在全国60多家主要的胆道疾病诊治中心推广应用，是开展腔镜HC根治性切除的主要的技术规范及循证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1"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第一完成</w:t>
            </w:r>
          </w:p>
          <w:p>
            <w:pPr>
              <w:spacing w:line="360" w:lineRule="auto"/>
              <w:jc w:val="center"/>
              <w:rPr>
                <w:rFonts w:ascii="黑体" w:eastAsia="黑体"/>
                <w:sz w:val="24"/>
                <w:szCs w:val="24"/>
              </w:rPr>
            </w:pPr>
            <w:r>
              <w:rPr>
                <w:rFonts w:hint="eastAsia" w:ascii="宋体" w:eastAsia="宋体" w:cs="宋体"/>
                <w:sz w:val="21"/>
                <w:szCs w:val="21"/>
                <w:lang w:val="en-US" w:eastAsia="zh-CN"/>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line="360" w:lineRule="auto"/>
              <w:ind w:left="0" w:firstLine="420" w:firstLineChars="200"/>
              <w:jc w:val="both"/>
              <w:rPr>
                <w:rFonts w:hint="eastAsia" w:ascii="宋体" w:eastAsia="宋体" w:cs="宋体"/>
                <w:sz w:val="21"/>
                <w:szCs w:val="21"/>
                <w:lang w:val="en-US" w:eastAsia="zh-CN"/>
              </w:rPr>
            </w:pPr>
            <w:r>
              <w:rPr>
                <w:rFonts w:hint="eastAsia" w:ascii="宋体" w:eastAsia="宋体" w:cs="宋体"/>
                <w:sz w:val="21"/>
                <w:szCs w:val="21"/>
                <w:lang w:val="en-US" w:eastAsia="zh-CN"/>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left="0" w:firstLine="420" w:firstLineChars="200"/>
              <w:jc w:val="both"/>
              <w:rPr>
                <w:rFonts w:hint="eastAsia" w:ascii="宋体" w:eastAsia="宋体" w:cs="宋体"/>
                <w:sz w:val="21"/>
                <w:szCs w:val="21"/>
                <w:lang w:val="en-US" w:eastAsia="zh-CN"/>
              </w:rPr>
            </w:pPr>
            <w:r>
              <w:rPr>
                <w:rFonts w:hint="eastAsia" w:ascii="宋体" w:eastAsia="宋体" w:cs="宋体"/>
                <w:sz w:val="21"/>
                <w:szCs w:val="21"/>
                <w:lang w:val="en-US" w:eastAsia="zh-CN"/>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jc w:val="both"/>
              <w:rPr>
                <w:rFonts w:hint="eastAsia" w:ascii="宋体" w:eastAsia="宋体" w:cs="宋体"/>
                <w:sz w:val="21"/>
                <w:szCs w:val="21"/>
              </w:rPr>
            </w:pPr>
          </w:p>
          <w:p>
            <w:pPr>
              <w:spacing w:line="360" w:lineRule="auto"/>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p>
          <w:p>
            <w:pPr>
              <w:spacing w:line="360" w:lineRule="auto"/>
              <w:ind w:firstLine="840" w:firstLineChars="400"/>
              <w:jc w:val="both"/>
              <w:rPr>
                <w:rFonts w:hint="eastAsia" w:ascii="宋体" w:eastAsia="宋体" w:cs="宋体"/>
                <w:sz w:val="21"/>
                <w:szCs w:val="21"/>
              </w:rPr>
            </w:pPr>
            <w:r>
              <w:rPr>
                <w:rFonts w:hint="eastAsia" w:ascii="宋体" w:eastAsia="宋体" w:cs="宋体"/>
                <w:sz w:val="21"/>
                <w:szCs w:val="21"/>
              </w:rPr>
              <w:t>单位法人签名：</w:t>
            </w:r>
            <w:r>
              <w:rPr>
                <w:rFonts w:hint="eastAsia" w:ascii="宋体" w:cs="宋体"/>
                <w:sz w:val="21"/>
                <w:szCs w:val="21"/>
                <w:lang w:val="en-US" w:eastAsia="zh-CN"/>
              </w:rPr>
              <w:t xml:space="preserve">                                  </w:t>
            </w:r>
            <w:r>
              <w:rPr>
                <w:rFonts w:hint="eastAsia" w:ascii="宋体" w:eastAsia="宋体" w:cs="宋体"/>
                <w:sz w:val="21"/>
                <w:szCs w:val="21"/>
              </w:rPr>
              <w:t>单位盖章</w:t>
            </w:r>
          </w:p>
          <w:p>
            <w:pPr>
              <w:spacing w:line="360" w:lineRule="auto"/>
              <w:ind w:firstLine="840" w:firstLineChars="400"/>
              <w:jc w:val="both"/>
              <w:rPr>
                <w:rFonts w:hint="eastAsia" w:ascii="宋体" w:eastAsia="宋体" w:cs="宋体"/>
                <w:sz w:val="21"/>
                <w:szCs w:val="21"/>
              </w:rPr>
            </w:pPr>
          </w:p>
          <w:p>
            <w:pPr>
              <w:ind w:firstLine="5460" w:firstLineChars="2600"/>
              <w:jc w:val="both"/>
              <w:rPr>
                <w:rFonts w:ascii="仿宋_GB2312" w:eastAsia="仿宋_GB2312"/>
                <w:sz w:val="24"/>
                <w:szCs w:val="24"/>
              </w:rPr>
            </w:pPr>
            <w:r>
              <w:rPr>
                <w:rFonts w:hint="eastAsia" w:ascii="宋体" w:eastAsia="宋体" w:cs="宋体"/>
                <w:sz w:val="21"/>
                <w:szCs w:val="21"/>
              </w:rPr>
              <w:t>年</w:t>
            </w:r>
            <w:r>
              <w:rPr>
                <w:rFonts w:hint="eastAsia" w:ascii="宋体" w:cs="宋体"/>
                <w:sz w:val="21"/>
                <w:szCs w:val="21"/>
                <w:lang w:val="en-US" w:eastAsia="zh-CN"/>
              </w:rPr>
              <w:t xml:space="preserve">   </w:t>
            </w:r>
            <w:r>
              <w:rPr>
                <w:rFonts w:hint="eastAsia" w:ascii="宋体" w:eastAsia="宋体" w:cs="宋体"/>
                <w:sz w:val="21"/>
                <w:szCs w:val="21"/>
              </w:rPr>
              <w:t>月</w:t>
            </w:r>
            <w:r>
              <w:rPr>
                <w:rFonts w:hint="eastAsia" w:ascii="宋体" w:cs="宋体"/>
                <w:sz w:val="21"/>
                <w:szCs w:val="21"/>
                <w:lang w:val="en-US" w:eastAsia="zh-CN"/>
              </w:rPr>
              <w:t xml:space="preserve">    </w:t>
            </w:r>
            <w:r>
              <w:rPr>
                <w:rFonts w:hint="eastAsia" w:ascii="宋体" w:eastAsia="宋体" w:cs="宋体"/>
                <w:sz w:val="21"/>
                <w:szCs w:val="21"/>
              </w:rPr>
              <w:t>日</w:t>
            </w:r>
          </w:p>
        </w:tc>
      </w:tr>
    </w:tbl>
    <w:p>
      <w:pPr>
        <w:widowControl w:val="0"/>
        <w:spacing w:line="360" w:lineRule="auto"/>
        <w:ind w:firstLine="0"/>
        <w:jc w:val="center"/>
        <w:rPr>
          <w:rFonts w:ascii="宋体" w:eastAsia="宋体" w:cs="Times New Roman"/>
          <w:b/>
          <w:color w:val="000000"/>
          <w:kern w:val="0"/>
          <w:sz w:val="28"/>
          <w:lang w:val="en-US" w:eastAsia="zh-CN" w:bidi="ar-SA"/>
        </w:rPr>
      </w:pPr>
      <w:r>
        <w:rPr>
          <w:rFonts w:hint="eastAsia" w:ascii="宋体" w:eastAsia="宋体" w:cs="Times New Roman"/>
          <w:b/>
          <w:bCs/>
          <w:color w:val="000000"/>
          <w:kern w:val="0"/>
          <w:sz w:val="28"/>
          <w:lang w:val="en-US" w:eastAsia="zh-CN" w:bidi="ar-SA"/>
        </w:rPr>
        <w:t>二</w:t>
      </w:r>
      <w:r>
        <w:rPr>
          <w:rFonts w:ascii="宋体" w:eastAsia="宋体" w:cs="Times New Roman"/>
          <w:b/>
          <w:bCs/>
          <w:color w:val="000000"/>
          <w:kern w:val="0"/>
          <w:sz w:val="28"/>
          <w:lang w:val="en-US" w:eastAsia="zh-CN" w:bidi="ar-SA"/>
        </w:rPr>
        <w:t>、</w:t>
      </w:r>
      <w:r>
        <w:rPr>
          <w:rFonts w:ascii="宋体" w:eastAsia="宋体" w:cs="Times New Roman"/>
          <w:b/>
          <w:color w:val="000000"/>
          <w:kern w:val="0"/>
          <w:sz w:val="28"/>
          <w:lang w:val="en-US" w:eastAsia="zh-CN" w:bidi="ar-SA"/>
        </w:rPr>
        <w:t>提名</w:t>
      </w:r>
      <w:r>
        <w:rPr>
          <w:rFonts w:hint="eastAsia" w:ascii="宋体" w:eastAsia="宋体" w:cs="Times New Roman"/>
          <w:b/>
          <w:color w:val="000000"/>
          <w:kern w:val="0"/>
          <w:sz w:val="28"/>
          <w:lang w:val="en-US" w:eastAsia="zh-CN" w:bidi="ar-SA"/>
        </w:rPr>
        <w:t>单位</w:t>
      </w:r>
      <w:r>
        <w:rPr>
          <w:rFonts w:ascii="宋体" w:eastAsia="宋体" w:cs="Times New Roman"/>
          <w:b/>
          <w:color w:val="000000"/>
          <w:kern w:val="0"/>
          <w:sz w:val="28"/>
          <w:lang w:val="en-US" w:eastAsia="zh-CN" w:bidi="ar-SA"/>
        </w:rPr>
        <w:t>意见</w:t>
      </w:r>
    </w:p>
    <w:tbl>
      <w:tblPr>
        <w:tblStyle w:val="8"/>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hint="default" w:ascii="宋体" w:eastAsia="宋体" w:cs="Times New Roman"/>
                <w:color w:val="000000"/>
                <w:kern w:val="2"/>
                <w:sz w:val="21"/>
                <w:lang w:val="en-US" w:eastAsia="zh-CN" w:bidi="ar-SA"/>
              </w:rPr>
            </w:pPr>
            <w:r>
              <w:rPr>
                <w:rFonts w:hint="eastAsia" w:ascii="宋体" w:cs="Times New Roman"/>
                <w:color w:val="000000"/>
                <w:kern w:val="2"/>
                <w:sz w:val="21"/>
                <w:lang w:val="en-US" w:eastAsia="zh-CN" w:bidi="ar-SA"/>
              </w:rPr>
              <w:t>四川省医学会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四川省成都市武侯区玉林南街2号附3号</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610041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联系人</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许伟</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18081980658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18081980658@163.com</w:t>
            </w:r>
          </w:p>
        </w:tc>
        <w:tc>
          <w:tcPr>
            <w:tcW w:w="1091"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传真</w:t>
            </w:r>
          </w:p>
        </w:tc>
        <w:tc>
          <w:tcPr>
            <w:tcW w:w="2114" w:type="dxa"/>
            <w:tcBorders>
              <w:top w:val="single" w:color="auto" w:sz="4" w:space="0"/>
              <w:left w:val="single" w:color="auto" w:sz="8" w:space="0"/>
              <w:bottom w:val="single" w:color="auto" w:sz="8" w:space="0"/>
              <w:right w:val="single" w:color="auto" w:sz="8" w:space="0"/>
            </w:tcBorders>
            <w:noWrap/>
            <w:vAlign w:val="center"/>
          </w:tcPr>
          <w:p>
            <w:pPr>
              <w:widowControl w:val="0"/>
              <w:spacing w:line="240" w:lineRule="auto"/>
              <w:ind w:firstLine="420" w:firstLineChars="200"/>
              <w:jc w:val="center"/>
              <w:rPr>
                <w:rFonts w:ascii="宋体" w:eastAsia="宋体" w:cs="Times New Roman"/>
                <w:color w:val="000000"/>
                <w:kern w:val="2"/>
                <w:sz w:val="21"/>
                <w:lang w:val="en-US" w:eastAsia="zh-CN" w:bidi="ar-SA"/>
              </w:rPr>
            </w:pPr>
            <w:r>
              <w:rPr>
                <w:rFonts w:hint="eastAsia" w:ascii="宋体" w:eastAsia="宋体" w:cs="Times New Roman"/>
                <w:color w:val="000000"/>
                <w:kern w:val="2"/>
                <w:sz w:val="21"/>
                <w:lang w:val="en-US" w:eastAsia="zh-CN" w:bidi="ar-SA"/>
              </w:rPr>
              <w:t>028-86137141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7"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宋体" w:eastAsia="宋体" w:cs="Times New Roman"/>
                <w:color w:val="000000"/>
                <w:szCs w:val="20"/>
              </w:rPr>
            </w:pPr>
          </w:p>
          <w:p>
            <w:pPr>
              <w:rPr>
                <w:rFonts w:ascii="宋体" w:eastAsia="宋体" w:cs="Times New Roman"/>
                <w:color w:val="000000"/>
                <w:szCs w:val="20"/>
              </w:rPr>
            </w:pPr>
            <w:r>
              <w:rPr>
                <w:rFonts w:hint="eastAsia" w:ascii="宋体" w:eastAsia="宋体" w:cs="Times New Roman"/>
                <w:color w:val="000000"/>
                <w:szCs w:val="20"/>
              </w:rPr>
              <w:t>提名意见：</w:t>
            </w:r>
          </w:p>
          <w:p>
            <w:pPr>
              <w:ind w:firstLine="420" w:firstLineChars="200"/>
              <w:rPr>
                <w:rFonts w:hint="eastAsia" w:ascii="宋体" w:eastAsia="宋体" w:cs="Times New Roman"/>
                <w:color w:val="000000"/>
                <w:szCs w:val="20"/>
                <w:lang w:val="en-US" w:eastAsia="zh-CN"/>
              </w:rPr>
            </w:pPr>
            <w:r>
              <w:rPr>
                <w:rFonts w:hint="eastAsia" w:ascii="宋体" w:eastAsia="宋体" w:cs="Times New Roman"/>
                <w:color w:val="000000"/>
                <w:szCs w:val="20"/>
                <w:lang w:val="en-US" w:eastAsia="zh-CN"/>
              </w:rPr>
              <w:t>本项目属于外科学范围内创新手术方式的临床应用研究，主要研究成果是手术操作流程、难点要点应对策略、技术方法以及临床循证依据。项目团队作为腔镜HC根治性切除的先行者和倡导者，所取得的一系列临床研究成果，提出的一系列手术策略、方法、流程极大地推动腔镜HC根治性切除的发展，加速了腔镜HC根治性切除的临床应用。项目团队制定了全国第一个《腹腔镜肝门部胆管癌根治性切除操作流程专家建议》，主持完成了第一个全国多中心临床研究，为凝聚学术共识，优化腔镜操作，降低手术风险，解除临床争议提供了重要循证依据。</w:t>
            </w:r>
          </w:p>
          <w:p>
            <w:pPr>
              <w:ind w:firstLine="420" w:firstLineChars="200"/>
              <w:rPr>
                <w:rFonts w:ascii="Times New Roman" w:hAnsi="Times New Roman" w:eastAsia="宋体" w:cs="Times New Roman"/>
                <w:color w:val="000000"/>
                <w:sz w:val="18"/>
                <w:szCs w:val="20"/>
              </w:rPr>
            </w:pPr>
            <w:r>
              <w:rPr>
                <w:rFonts w:hint="eastAsia" w:ascii="宋体" w:eastAsia="宋体" w:cs="Times New Roman"/>
                <w:color w:val="000000"/>
                <w:szCs w:val="20"/>
                <w:lang w:val="en-US" w:eastAsia="zh-CN"/>
              </w:rPr>
              <w:t>该项目在复杂腔镜手术的临床应用中有较大创新，研究成果在国内外均处于领先水平，成果应用转化程度高，目前已在上海交通大学医学院附属新华医院、四川大学华西医院、复旦大学附属中山医院、厦门大学附属中山医院、西南医科大学附属医院、陆军军医大学第二附属医院、重庆大学附属医院、四川省人民医院等国内知名医院推广应用，提高了手术的可行性、安全性，同时规范了诊疗行为，保障了患者安全。基于李敬东教授项目团队所做出的突出贡献和所取得的广泛社会效益。</w:t>
            </w:r>
          </w:p>
          <w:p>
            <w:pPr>
              <w:spacing w:before="156" w:beforeLines="50"/>
              <w:ind w:firstLine="428" w:firstLineChars="200"/>
              <w:rPr>
                <w:rFonts w:ascii="宋体" w:eastAsia="宋体" w:cs="Times New Roman"/>
                <w:b/>
                <w:bCs/>
                <w:strike/>
                <w:dstrike w:val="0"/>
                <w:color w:val="000000"/>
                <w:szCs w:val="20"/>
              </w:rPr>
            </w:pPr>
            <w:r>
              <w:rPr>
                <w:rFonts w:hint="eastAsia" w:ascii="宋体" w:eastAsia="宋体" w:cs="Times New Roman"/>
                <w:bCs/>
                <w:color w:val="000000"/>
                <w:spacing w:val="2"/>
                <w:szCs w:val="20"/>
              </w:rPr>
              <w:t>提名该项目为四川省科学技术进步奖。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widowControl w:val="0"/>
              <w:spacing w:line="320" w:lineRule="exact"/>
              <w:ind w:firstLine="422" w:firstLineChars="200"/>
              <w:jc w:val="both"/>
              <w:rPr>
                <w:rFonts w:ascii="仿宋_GB2312" w:hAnsi="仿宋_GB2312" w:eastAsia="宋体" w:cs="Times New Roman"/>
                <w:color w:val="000000"/>
                <w:kern w:val="2"/>
                <w:sz w:val="24"/>
                <w:lang w:val="en-US" w:eastAsia="zh-CN" w:bidi="ar-SA"/>
              </w:rPr>
            </w:pPr>
            <w:r>
              <w:rPr>
                <w:rFonts w:hint="eastAsia" w:ascii="宋体" w:eastAsia="宋体" w:cs="Times New Roman"/>
                <w:b/>
                <w:bCs/>
                <w:color w:val="000000"/>
                <w:kern w:val="2"/>
                <w:sz w:val="21"/>
                <w:lang w:val="en-US" w:eastAsia="zh-CN" w:bidi="ar-SA"/>
              </w:rPr>
              <w:t>声</w:t>
            </w:r>
            <w:r>
              <w:rPr>
                <w:rFonts w:ascii="宋体" w:eastAsia="宋体" w:cs="Times New Roman"/>
                <w:b/>
                <w:bCs/>
                <w:color w:val="000000"/>
                <w:kern w:val="2"/>
                <w:sz w:val="21"/>
                <w:lang w:val="en-US" w:eastAsia="zh-CN" w:bidi="ar-SA"/>
              </w:rPr>
              <w:t>明：</w:t>
            </w:r>
            <w:r>
              <w:rPr>
                <w:rFonts w:hint="eastAsia" w:ascii="宋体" w:eastAsia="宋体" w:cs="Times New Roman"/>
                <w:color w:val="000000"/>
                <w:kern w:val="2"/>
                <w:sz w:val="21"/>
                <w:lang w:val="en-US" w:eastAsia="zh-CN" w:bidi="ar-SA"/>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eastAsia="宋体" w:cs="Times New Roman"/>
                <w:color w:val="000000"/>
                <w:szCs w:val="20"/>
              </w:rPr>
            </w:pPr>
          </w:p>
          <w:p>
            <w:pPr>
              <w:rPr>
                <w:rFonts w:ascii="Times New Roman" w:hAnsi="Times New Roman" w:eastAsia="宋体" w:cs="Times New Roman"/>
                <w:color w:val="000000"/>
                <w:szCs w:val="20"/>
              </w:rPr>
            </w:pPr>
          </w:p>
          <w:p>
            <w:pPr>
              <w:rPr>
                <w:rFonts w:hint="eastAsia" w:ascii="Times New Roman" w:hAnsi="Times New Roman" w:eastAsia="宋体" w:cs="Times New Roman"/>
                <w:color w:val="000000"/>
                <w:szCs w:val="20"/>
                <w:lang w:eastAsia="zh-CN"/>
              </w:rPr>
            </w:pPr>
            <w:r>
              <w:rPr>
                <w:rFonts w:hint="eastAsia" w:ascii="Times New Roman" w:hAnsi="Times New Roman" w:eastAsia="宋体" w:cs="Times New Roman"/>
                <w:color w:val="000000"/>
                <w:szCs w:val="20"/>
              </w:rPr>
              <w:t>单位负责人签名：</w:t>
            </w:r>
            <w:r>
              <w:rPr>
                <w:rFonts w:hint="eastAsia" w:ascii="Times New Roman" w:hAnsi="Times New Roman" w:cs="Times New Roman"/>
                <w:color w:val="000000"/>
                <w:szCs w:val="20"/>
                <w:lang w:val="en-US" w:eastAsia="zh-CN"/>
              </w:rPr>
              <w:t xml:space="preserve">                                                  </w:t>
            </w:r>
            <w:bookmarkStart w:id="0" w:name="_GoBack"/>
            <w:bookmarkEnd w:id="0"/>
            <w:r>
              <w:rPr>
                <w:rFonts w:hint="eastAsia" w:ascii="Times New Roman" w:hAnsi="Times New Roman" w:eastAsia="宋体" w:cs="Times New Roman"/>
                <w:color w:val="000000"/>
                <w:szCs w:val="20"/>
              </w:rPr>
              <w:t>提名单位（盖章）</w:t>
            </w:r>
          </w:p>
          <w:p>
            <w:pPr>
              <w:ind w:firstLine="420" w:firstLineChars="200"/>
              <w:rPr>
                <w:rFonts w:ascii="Times New Roman" w:hAnsi="Times New Roman" w:eastAsia="宋体" w:cs="Times New Roman"/>
                <w:color w:val="000000"/>
                <w:szCs w:val="20"/>
              </w:rPr>
            </w:pPr>
          </w:p>
          <w:p>
            <w:pPr>
              <w:spacing w:line="360" w:lineRule="auto"/>
              <w:rPr>
                <w:rFonts w:ascii="宋体" w:eastAsia="宋体" w:cs="Times New Roman"/>
                <w:color w:val="000000"/>
                <w:szCs w:val="20"/>
              </w:rPr>
            </w:pPr>
            <w:r>
              <w:rPr>
                <w:rFonts w:hint="eastAsia" w:ascii="宋体" w:eastAsia="宋体" w:cs="Times New Roman"/>
                <w:color w:val="000000"/>
                <w:szCs w:val="20"/>
              </w:rPr>
              <w:t>年</w:t>
            </w:r>
            <w:r>
              <w:rPr>
                <w:rFonts w:hint="eastAsia" w:ascii="宋体" w:cs="Times New Roman"/>
                <w:color w:val="000000"/>
                <w:szCs w:val="20"/>
                <w:lang w:val="en-US" w:eastAsia="zh-CN"/>
              </w:rPr>
              <w:t xml:space="preserve">   </w:t>
            </w:r>
            <w:r>
              <w:rPr>
                <w:rFonts w:hint="eastAsia" w:ascii="宋体" w:eastAsia="宋体" w:cs="Times New Roman"/>
                <w:color w:val="000000"/>
                <w:szCs w:val="20"/>
              </w:rPr>
              <w:t>月</w:t>
            </w:r>
            <w:r>
              <w:rPr>
                <w:rFonts w:hint="eastAsia" w:ascii="宋体" w:cs="Times New Roman"/>
                <w:color w:val="000000"/>
                <w:szCs w:val="20"/>
                <w:lang w:val="en-US" w:eastAsia="zh-CN"/>
              </w:rPr>
              <w:t xml:space="preserve">   </w:t>
            </w:r>
            <w:r>
              <w:rPr>
                <w:rFonts w:hint="eastAsia" w:ascii="宋体" w:eastAsia="宋体" w:cs="Times New Roman"/>
                <w:color w:val="000000"/>
                <w:szCs w:val="20"/>
              </w:rPr>
              <w:t>日</w:t>
            </w:r>
            <w:r>
              <w:rPr>
                <w:rFonts w:hint="eastAsia" w:ascii="宋体" w:cs="Times New Roman"/>
                <w:color w:val="000000"/>
                <w:szCs w:val="20"/>
                <w:lang w:val="en-US" w:eastAsia="zh-CN"/>
              </w:rPr>
              <w:t xml:space="preserve">                                                        </w:t>
            </w:r>
            <w:r>
              <w:rPr>
                <w:rFonts w:hint="eastAsia" w:ascii="宋体" w:eastAsia="宋体" w:cs="Times New Roman"/>
                <w:color w:val="000000"/>
                <w:szCs w:val="20"/>
              </w:rPr>
              <w:t>年</w:t>
            </w:r>
            <w:r>
              <w:rPr>
                <w:rFonts w:hint="eastAsia" w:ascii="宋体" w:cs="Times New Roman"/>
                <w:color w:val="000000"/>
                <w:szCs w:val="20"/>
                <w:lang w:val="en-US" w:eastAsia="zh-CN"/>
              </w:rPr>
              <w:t xml:space="preserve">   </w:t>
            </w:r>
            <w:r>
              <w:rPr>
                <w:rFonts w:hint="eastAsia" w:ascii="宋体" w:eastAsia="宋体" w:cs="Times New Roman"/>
                <w:color w:val="000000"/>
                <w:szCs w:val="20"/>
              </w:rPr>
              <w:t>月</w:t>
            </w:r>
            <w:r>
              <w:rPr>
                <w:rFonts w:hint="eastAsia" w:ascii="宋体" w:cs="Times New Roman"/>
                <w:color w:val="000000"/>
                <w:szCs w:val="20"/>
                <w:lang w:val="en-US" w:eastAsia="zh-CN"/>
              </w:rPr>
              <w:t xml:space="preserve">   </w:t>
            </w:r>
            <w:r>
              <w:rPr>
                <w:rFonts w:hint="eastAsia" w:ascii="宋体" w:eastAsia="宋体" w:cs="Times New Roman"/>
                <w:color w:val="000000"/>
                <w:szCs w:val="20"/>
              </w:rPr>
              <w:t>日</w:t>
            </w:r>
          </w:p>
        </w:tc>
      </w:tr>
    </w:tbl>
    <w:p>
      <w:pPr>
        <w:widowControl w:val="0"/>
        <w:spacing w:line="390" w:lineRule="exact"/>
        <w:ind w:firstLine="0"/>
        <w:jc w:val="center"/>
        <w:outlineLvl w:val="1"/>
        <w:rPr>
          <w:rFonts w:hint="eastAsia" w:ascii="黑体" w:eastAsia="黑体" w:cs="黑体"/>
          <w:b w:val="0"/>
          <w:bCs/>
          <w:color w:val="000000"/>
          <w:kern w:val="0"/>
          <w:sz w:val="28"/>
          <w:szCs w:val="28"/>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宋体"/>
          <w:sz w:val="21"/>
          <w:szCs w:val="21"/>
          <w:lang w:val="en-US" w:eastAsia="zh-CN"/>
        </w:rPr>
      </w:pPr>
      <w:r>
        <w:rPr>
          <w:rFonts w:hint="eastAsia" w:ascii="宋体" w:eastAsia="宋体" w:cs="Times New Roman"/>
          <w:b/>
          <w:bCs w:val="0"/>
          <w:color w:val="000000"/>
          <w:kern w:val="2"/>
          <w:sz w:val="28"/>
          <w:szCs w:val="20"/>
          <w:lang w:val="en-US" w:eastAsia="zh-CN" w:bidi="ar-SA"/>
        </w:rPr>
        <w:t>三、主要知识产权和标准规范等目录</w:t>
      </w:r>
      <w:r>
        <w:rPr>
          <w:rFonts w:hint="eastAsia" w:ascii="宋体" w:eastAsia="宋体" w:cs="宋体"/>
          <w:sz w:val="21"/>
          <w:szCs w:val="21"/>
          <w:lang w:val="en-US" w:eastAsia="zh-CN"/>
        </w:rPr>
        <w:t>（不超过10件）</w:t>
      </w:r>
    </w:p>
    <w:tbl>
      <w:tblPr>
        <w:tblStyle w:val="8"/>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知识产权（标准）类别</w:t>
            </w:r>
          </w:p>
        </w:tc>
        <w:tc>
          <w:tcPr>
            <w:tcW w:w="126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知识产权（标准）具体名称</w:t>
            </w:r>
          </w:p>
        </w:tc>
        <w:tc>
          <w:tcPr>
            <w:tcW w:w="102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国家</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（地区）</w:t>
            </w:r>
          </w:p>
        </w:tc>
        <w:tc>
          <w:tcPr>
            <w:tcW w:w="84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授权号（标准编号）</w:t>
            </w:r>
          </w:p>
        </w:tc>
        <w:tc>
          <w:tcPr>
            <w:tcW w:w="99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授权（标准发布）日期</w:t>
            </w:r>
          </w:p>
        </w:tc>
        <w:tc>
          <w:tcPr>
            <w:tcW w:w="113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证书编号</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（标准批准发布部门）</w:t>
            </w:r>
          </w:p>
        </w:tc>
        <w:tc>
          <w:tcPr>
            <w:tcW w:w="85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权利人（标准起草单位）</w:t>
            </w:r>
          </w:p>
        </w:tc>
        <w:tc>
          <w:tcPr>
            <w:tcW w:w="85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发明人（标准起草人）</w:t>
            </w:r>
          </w:p>
        </w:tc>
        <w:tc>
          <w:tcPr>
            <w:tcW w:w="11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both"/>
              <w:rPr>
                <w:rFonts w:hint="default" w:ascii="宋体" w:eastAsia="宋体" w:cs="宋体"/>
                <w:sz w:val="21"/>
                <w:szCs w:val="21"/>
                <w:lang w:val="en-US" w:eastAsia="zh-CN"/>
              </w:rPr>
            </w:pPr>
            <w:r>
              <w:rPr>
                <w:rFonts w:hint="eastAsia" w:ascii="宋体" w:cs="宋体"/>
                <w:sz w:val="21"/>
                <w:szCs w:val="21"/>
                <w:lang w:val="en-US" w:eastAsia="zh-CN"/>
              </w:rPr>
              <w:t>软件著作</w:t>
            </w: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肝脏胆道系统肿瘤患者个体化管理随访平台V1.0</w:t>
            </w: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中国</w:t>
            </w: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2019SR0986689</w:t>
            </w: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2019年07月28日</w:t>
            </w: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4407446</w:t>
            </w: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熊永福、李敬东、杨刚、董士杰</w:t>
            </w: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r>
              <w:rPr>
                <w:rFonts w:hint="eastAsia" w:ascii="宋体" w:cs="宋体"/>
                <w:sz w:val="21"/>
                <w:szCs w:val="21"/>
                <w:lang w:val="en-US" w:eastAsia="zh-CN"/>
              </w:rPr>
              <w:t>熊永福、李敬东、杨刚、董士杰</w:t>
            </w: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下证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hint="eastAsia" w:ascii="宋体" w:eastAsia="宋体" w:cs="宋体"/>
                <w:sz w:val="21"/>
                <w:szCs w:val="21"/>
                <w:lang w:val="en-US" w:eastAsia="zh-CN"/>
              </w:rPr>
            </w:pPr>
          </w:p>
        </w:tc>
      </w:tr>
    </w:tbl>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p>
    <w:p>
      <w:pPr>
        <w:widowControl w:val="0"/>
        <w:spacing w:line="390" w:lineRule="exact"/>
        <w:ind w:firstLine="0"/>
        <w:jc w:val="center"/>
        <w:outlineLvl w:val="1"/>
        <w:rPr>
          <w:rFonts w:hint="eastAsia" w:ascii="宋体" w:eastAsia="宋体" w:cs="Times New Roman"/>
          <w:b/>
          <w:bCs w:val="0"/>
          <w:color w:val="000000"/>
          <w:kern w:val="2"/>
          <w:sz w:val="28"/>
          <w:szCs w:val="20"/>
          <w:lang w:val="en-US" w:eastAsia="zh-CN" w:bidi="ar-SA"/>
        </w:rPr>
      </w:pPr>
      <w:r>
        <w:rPr>
          <w:rFonts w:hint="eastAsia" w:ascii="宋体" w:eastAsia="宋体" w:cs="Times New Roman"/>
          <w:b/>
          <w:bCs w:val="0"/>
          <w:color w:val="000000"/>
          <w:kern w:val="2"/>
          <w:sz w:val="28"/>
          <w:szCs w:val="20"/>
          <w:lang w:val="en-US" w:eastAsia="zh-CN" w:bidi="ar-SA"/>
        </w:rPr>
        <w:t>四、论文专著目录</w:t>
      </w:r>
      <w:r>
        <w:rPr>
          <w:rFonts w:hint="eastAsia" w:ascii="宋体" w:eastAsia="宋体" w:cs="宋体"/>
          <w:sz w:val="21"/>
          <w:szCs w:val="21"/>
          <w:lang w:val="en-US" w:eastAsia="zh-CN"/>
        </w:rPr>
        <w:t>（不超过5篇/部，非必填）</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2076"/>
        <w:gridCol w:w="911"/>
        <w:gridCol w:w="757"/>
        <w:gridCol w:w="659"/>
        <w:gridCol w:w="729"/>
        <w:gridCol w:w="1206"/>
        <w:gridCol w:w="530"/>
        <w:gridCol w:w="49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序号</w:t>
            </w:r>
          </w:p>
        </w:tc>
        <w:tc>
          <w:tcPr>
            <w:tcW w:w="2076" w:type="dxa"/>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论文（专著）</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名称/刊名</w:t>
            </w:r>
          </w:p>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/作者</w:t>
            </w:r>
          </w:p>
        </w:tc>
        <w:tc>
          <w:tcPr>
            <w:tcW w:w="911" w:type="dxa"/>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年卷页码</w:t>
            </w:r>
          </w:p>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（xx年xx卷</w:t>
            </w:r>
          </w:p>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xx页）</w:t>
            </w:r>
          </w:p>
        </w:tc>
        <w:tc>
          <w:tcPr>
            <w:tcW w:w="757"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发表时间（年月日）</w:t>
            </w:r>
          </w:p>
        </w:tc>
        <w:tc>
          <w:tcPr>
            <w:tcW w:w="659"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通讯作者（含共同）</w:t>
            </w:r>
          </w:p>
        </w:tc>
        <w:tc>
          <w:tcPr>
            <w:tcW w:w="729"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第一作者（含共同）</w:t>
            </w:r>
          </w:p>
        </w:tc>
        <w:tc>
          <w:tcPr>
            <w:tcW w:w="1206"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国内作者</w:t>
            </w:r>
          </w:p>
        </w:tc>
        <w:tc>
          <w:tcPr>
            <w:tcW w:w="530"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他引总次数</w:t>
            </w:r>
          </w:p>
        </w:tc>
        <w:tc>
          <w:tcPr>
            <w:tcW w:w="49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检索数据库</w:t>
            </w:r>
          </w:p>
        </w:tc>
        <w:tc>
          <w:tcPr>
            <w:tcW w:w="778"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1</w:t>
            </w:r>
          </w:p>
        </w:tc>
        <w:tc>
          <w:tcPr>
            <w:tcW w:w="2076"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eastAsia="宋体" w:cs="宋体"/>
                <w:sz w:val="21"/>
                <w:szCs w:val="21"/>
                <w:lang w:val="en-US" w:eastAsia="zh-CN"/>
              </w:rPr>
              <w:t>腹腔镜肝门部胆管癌根治性切除操作流程专家建议/中华外科杂志/李敬东</w:t>
            </w:r>
          </w:p>
        </w:tc>
        <w:tc>
          <w:tcPr>
            <w:tcW w:w="911"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2019, 57(8): 561-567</w:t>
            </w:r>
          </w:p>
        </w:tc>
        <w:tc>
          <w:tcPr>
            <w:tcW w:w="757" w:type="dxa"/>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2019年8月1日</w:t>
            </w:r>
          </w:p>
          <w:p>
            <w:pPr>
              <w:spacing w:line="360" w:lineRule="auto"/>
              <w:jc w:val="center"/>
              <w:rPr>
                <w:rFonts w:hint="default" w:ascii="宋体" w:hAnsi="Calibri" w:eastAsia="宋体" w:cs="宋体"/>
                <w:kern w:val="2"/>
                <w:sz w:val="21"/>
                <w:szCs w:val="21"/>
                <w:lang w:val="en-US" w:eastAsia="zh-CN" w:bidi="ar-SA"/>
              </w:rPr>
            </w:pPr>
          </w:p>
        </w:tc>
        <w:tc>
          <w:tcPr>
            <w:tcW w:w="659"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eastAsia="宋体" w:cs="宋体"/>
                <w:sz w:val="21"/>
                <w:szCs w:val="21"/>
                <w:lang w:val="en-US" w:eastAsia="zh-CN"/>
              </w:rPr>
              <w:t>汤朝晖、张永杰、李敬东</w:t>
            </w:r>
          </w:p>
        </w:tc>
        <w:tc>
          <w:tcPr>
            <w:tcW w:w="729"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eastAsia="宋体" w:cs="宋体"/>
                <w:sz w:val="21"/>
                <w:szCs w:val="21"/>
                <w:lang w:val="en-US" w:eastAsia="zh-CN"/>
              </w:rPr>
              <w:t>李敬东</w:t>
            </w:r>
          </w:p>
        </w:tc>
        <w:tc>
          <w:tcPr>
            <w:tcW w:w="1206"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汤朝晖、张永杰、李敬东</w:t>
            </w:r>
          </w:p>
        </w:tc>
        <w:tc>
          <w:tcPr>
            <w:tcW w:w="530"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eastAsia="宋体" w:cs="宋体"/>
                <w:sz w:val="21"/>
                <w:szCs w:val="21"/>
                <w:lang w:val="en-US" w:eastAsia="zh-CN"/>
              </w:rPr>
              <w:t>9</w:t>
            </w:r>
          </w:p>
        </w:tc>
        <w:tc>
          <w:tcPr>
            <w:tcW w:w="493"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eastAsia="宋体" w:cs="宋体"/>
                <w:sz w:val="21"/>
                <w:szCs w:val="21"/>
                <w:lang w:val="en-US" w:eastAsia="zh-CN"/>
              </w:rPr>
              <w:t>9</w:t>
            </w:r>
          </w:p>
        </w:tc>
        <w:tc>
          <w:tcPr>
            <w:tcW w:w="778" w:type="dxa"/>
            <w:vAlign w:val="top"/>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2</w:t>
            </w:r>
          </w:p>
        </w:tc>
        <w:tc>
          <w:tcPr>
            <w:tcW w:w="2076" w:type="dxa"/>
            <w:vAlign w:val="center"/>
          </w:tcPr>
          <w:p>
            <w:pPr>
              <w:spacing w:line="360" w:lineRule="auto"/>
              <w:jc w:val="center"/>
              <w:rPr>
                <w:rFonts w:hint="default" w:ascii="宋体" w:hAnsi="Calibri" w:eastAsia="宋体" w:cs="宋体"/>
                <w:kern w:val="2"/>
                <w:sz w:val="21"/>
                <w:szCs w:val="21"/>
                <w:lang w:val="en-US" w:eastAsia="zh-CN" w:bidi="ar-SA"/>
              </w:rPr>
            </w:pPr>
            <w:r>
              <w:rPr>
                <w:rFonts w:hint="default" w:ascii="宋体" w:eastAsia="宋体" w:cs="宋体"/>
                <w:sz w:val="21"/>
                <w:szCs w:val="21"/>
                <w:lang w:val="en-US" w:eastAsia="zh-CN"/>
              </w:rPr>
              <w:t>Minimally invasive surgery for hilar cholangiocarcinoma: a multicenter retrospective analysis of 158 patients</w:t>
            </w:r>
            <w:r>
              <w:rPr>
                <w:rFonts w:hint="eastAsia" w:ascii="宋体" w:eastAsia="宋体" w:cs="宋体"/>
                <w:sz w:val="21"/>
                <w:szCs w:val="21"/>
                <w:lang w:val="en-US" w:eastAsia="zh-CN"/>
              </w:rPr>
              <w:t>/</w:t>
            </w:r>
            <w:r>
              <w:rPr>
                <w:rFonts w:hint="default" w:ascii="宋体" w:eastAsia="宋体" w:cs="宋体"/>
                <w:sz w:val="21"/>
                <w:szCs w:val="21"/>
                <w:lang w:val="en-US" w:eastAsia="zh-CN"/>
              </w:rPr>
              <w:t>Surg Endosc</w:t>
            </w:r>
            <w:r>
              <w:rPr>
                <w:rFonts w:hint="eastAsia" w:ascii="宋体" w:eastAsia="宋体" w:cs="宋体"/>
                <w:sz w:val="21"/>
                <w:szCs w:val="21"/>
                <w:lang w:val="en-US" w:eastAsia="zh-CN"/>
              </w:rPr>
              <w:t>/</w:t>
            </w:r>
            <w:r>
              <w:rPr>
                <w:rFonts w:hint="eastAsia" w:ascii="宋体" w:cs="宋体"/>
                <w:sz w:val="21"/>
                <w:szCs w:val="21"/>
                <w:lang w:val="en-US" w:eastAsia="zh-CN"/>
              </w:rPr>
              <w:t>Jingdong Li</w:t>
            </w:r>
          </w:p>
        </w:tc>
        <w:tc>
          <w:tcPr>
            <w:tcW w:w="911"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2020; 10.10 07</w:t>
            </w:r>
          </w:p>
        </w:tc>
        <w:tc>
          <w:tcPr>
            <w:tcW w:w="757"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szCs w:val="21"/>
              </w:rPr>
              <w:t>2020 年 11 月 30 日</w:t>
            </w:r>
          </w:p>
        </w:tc>
        <w:tc>
          <w:tcPr>
            <w:tcW w:w="659"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Jingdong Li</w:t>
            </w:r>
          </w:p>
        </w:tc>
        <w:tc>
          <w:tcPr>
            <w:tcW w:w="729" w:type="dxa"/>
            <w:vAlign w:val="center"/>
          </w:tcPr>
          <w:p>
            <w:pPr>
              <w:spacing w:line="360" w:lineRule="auto"/>
              <w:jc w:val="center"/>
              <w:rPr>
                <w:rFonts w:hint="eastAsia" w:ascii="宋体" w:eastAsia="宋体" w:cs="宋体"/>
                <w:sz w:val="21"/>
                <w:szCs w:val="21"/>
                <w:lang w:val="en-US" w:eastAsia="zh-CN"/>
              </w:rPr>
            </w:pPr>
            <w:r>
              <w:rPr>
                <w:rFonts w:hint="eastAsia" w:ascii="宋体" w:cs="宋体"/>
                <w:sz w:val="21"/>
                <w:szCs w:val="21"/>
                <w:lang w:val="en-US" w:eastAsia="zh-CN"/>
              </w:rPr>
              <w:t>Jingdong Li</w:t>
            </w:r>
            <w:r>
              <w:rPr>
                <w:rFonts w:hint="eastAsia" w:ascii="宋体" w:eastAsia="宋体" w:cs="宋体"/>
                <w:sz w:val="21"/>
                <w:szCs w:val="21"/>
                <w:lang w:val="en-US" w:eastAsia="zh-CN"/>
              </w:rPr>
              <w:t>、</w:t>
            </w:r>
            <w:r>
              <w:rPr>
                <w:rFonts w:hint="eastAsia" w:ascii="宋体" w:cs="宋体"/>
                <w:sz w:val="21"/>
                <w:szCs w:val="21"/>
                <w:lang w:val="en-US" w:eastAsia="zh-CN"/>
              </w:rPr>
              <w:t>Y</w:t>
            </w:r>
            <w:r>
              <w:rPr>
                <w:rFonts w:hint="eastAsia" w:ascii="宋体" w:eastAsia="宋体" w:cs="宋体"/>
                <w:sz w:val="21"/>
                <w:szCs w:val="21"/>
                <w:lang w:val="en-US" w:eastAsia="zh-CN"/>
              </w:rPr>
              <w:t>ongfu</w:t>
            </w:r>
          </w:p>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X</w:t>
            </w:r>
            <w:r>
              <w:rPr>
                <w:rFonts w:hint="eastAsia" w:ascii="宋体" w:eastAsia="宋体" w:cs="宋体"/>
                <w:sz w:val="21"/>
                <w:szCs w:val="21"/>
                <w:lang w:val="en-US" w:eastAsia="zh-CN"/>
              </w:rPr>
              <w:t>iong</w:t>
            </w:r>
          </w:p>
        </w:tc>
        <w:tc>
          <w:tcPr>
            <w:tcW w:w="1206"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Li Jingdong, Xiong Yongfu, Gang Yang,Xu Jian, Huang Xujian, Liu Jianhua,Zhao Wenxing,Qin Renyi, Yin Xinming,Zheng Shuguo, et al</w:t>
            </w:r>
          </w:p>
        </w:tc>
        <w:tc>
          <w:tcPr>
            <w:tcW w:w="530"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2</w:t>
            </w:r>
          </w:p>
        </w:tc>
        <w:tc>
          <w:tcPr>
            <w:tcW w:w="493"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2</w:t>
            </w:r>
          </w:p>
        </w:tc>
        <w:tc>
          <w:tcPr>
            <w:tcW w:w="778"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3</w:t>
            </w:r>
          </w:p>
        </w:tc>
        <w:tc>
          <w:tcPr>
            <w:tcW w:w="2076" w:type="dxa"/>
            <w:vAlign w:val="center"/>
          </w:tcPr>
          <w:p>
            <w:pPr>
              <w:spacing w:line="360" w:lineRule="auto"/>
              <w:jc w:val="center"/>
              <w:rPr>
                <w:rFonts w:hint="default" w:ascii="宋体" w:eastAsia="宋体" w:cs="宋体"/>
                <w:sz w:val="21"/>
                <w:szCs w:val="21"/>
                <w:lang w:val="en-US" w:eastAsia="zh-CN"/>
              </w:rPr>
            </w:pPr>
            <w:r>
              <w:rPr>
                <w:rFonts w:hint="default" w:ascii="宋体" w:eastAsia="宋体" w:cs="宋体"/>
                <w:sz w:val="21"/>
                <w:szCs w:val="21"/>
                <w:lang w:val="en-US" w:eastAsia="zh-CN"/>
              </w:rPr>
              <w:t>Complete laparoscopic radical resection of hilar cholangiocarcinoma: technical aspects and long-term results from a single center</w:t>
            </w:r>
            <w:r>
              <w:rPr>
                <w:rFonts w:hint="eastAsia" w:ascii="宋体" w:eastAsia="宋体" w:cs="宋体"/>
                <w:sz w:val="21"/>
                <w:szCs w:val="21"/>
                <w:lang w:val="en-US" w:eastAsia="zh-CN"/>
              </w:rPr>
              <w:t>/</w:t>
            </w:r>
            <w:r>
              <w:rPr>
                <w:rFonts w:hint="default" w:ascii="宋体" w:eastAsia="宋体" w:cs="宋体"/>
                <w:sz w:val="21"/>
                <w:szCs w:val="21"/>
                <w:lang w:val="en-US" w:eastAsia="zh-CN"/>
              </w:rPr>
              <w:t>Videosurgery and Other Miniinvasive Techniques</w:t>
            </w:r>
            <w:r>
              <w:rPr>
                <w:rFonts w:hint="eastAsia" w:ascii="宋体" w:eastAsia="宋体" w:cs="宋体"/>
                <w:sz w:val="21"/>
                <w:szCs w:val="21"/>
                <w:lang w:val="en-US" w:eastAsia="zh-CN"/>
              </w:rPr>
              <w:t>/Jingdong Li</w:t>
            </w:r>
          </w:p>
        </w:tc>
        <w:tc>
          <w:tcPr>
            <w:tcW w:w="911" w:type="dxa"/>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2021;16(1):62-75</w:t>
            </w:r>
          </w:p>
        </w:tc>
        <w:tc>
          <w:tcPr>
            <w:tcW w:w="757" w:type="dxa"/>
            <w:vAlign w:val="center"/>
          </w:tcPr>
          <w:p>
            <w:pPr>
              <w:spacing w:line="360" w:lineRule="auto"/>
              <w:jc w:val="center"/>
              <w:rPr>
                <w:rFonts w:ascii="宋体" w:cs="宋体"/>
                <w:szCs w:val="21"/>
              </w:rPr>
            </w:pPr>
            <w:r>
              <w:rPr>
                <w:rFonts w:hint="eastAsia" w:ascii="宋体" w:cs="宋体"/>
                <w:szCs w:val="21"/>
              </w:rPr>
              <w:t>20</w:t>
            </w:r>
            <w:r>
              <w:rPr>
                <w:rFonts w:ascii="宋体" w:cs="宋体"/>
                <w:szCs w:val="21"/>
              </w:rPr>
              <w:t>20</w:t>
            </w:r>
            <w:r>
              <w:rPr>
                <w:rFonts w:hint="eastAsia" w:ascii="宋体" w:cs="宋体"/>
                <w:szCs w:val="21"/>
              </w:rPr>
              <w:t>年</w:t>
            </w:r>
            <w:r>
              <w:rPr>
                <w:rFonts w:ascii="宋体" w:cs="宋体"/>
                <w:szCs w:val="21"/>
              </w:rPr>
              <w:t>7</w:t>
            </w:r>
            <w:r>
              <w:rPr>
                <w:rFonts w:hint="eastAsia" w:ascii="宋体" w:cs="宋体"/>
                <w:szCs w:val="21"/>
              </w:rPr>
              <w:t>月1</w:t>
            </w:r>
            <w:r>
              <w:rPr>
                <w:rFonts w:ascii="宋体" w:cs="宋体"/>
                <w:szCs w:val="21"/>
              </w:rPr>
              <w:t>6</w:t>
            </w:r>
            <w:r>
              <w:rPr>
                <w:rFonts w:hint="eastAsia" w:ascii="宋体" w:cs="宋体"/>
                <w:szCs w:val="21"/>
              </w:rPr>
              <w:t>日</w:t>
            </w:r>
          </w:p>
          <w:p>
            <w:pPr>
              <w:spacing w:line="360" w:lineRule="auto"/>
              <w:jc w:val="center"/>
              <w:rPr>
                <w:rFonts w:hint="eastAsia" w:ascii="宋体" w:hAnsi="Calibri" w:eastAsia="宋体" w:cs="宋体"/>
                <w:kern w:val="2"/>
                <w:sz w:val="21"/>
                <w:szCs w:val="21"/>
                <w:lang w:val="en-US" w:eastAsia="zh-CN" w:bidi="ar-SA"/>
              </w:rPr>
            </w:pPr>
          </w:p>
        </w:tc>
        <w:tc>
          <w:tcPr>
            <w:tcW w:w="659" w:type="dxa"/>
            <w:vAlign w:val="center"/>
          </w:tcPr>
          <w:p>
            <w:pPr>
              <w:spacing w:line="360" w:lineRule="auto"/>
              <w:jc w:val="center"/>
              <w:rPr>
                <w:rFonts w:hint="default" w:ascii="宋体" w:eastAsia="宋体" w:cs="宋体"/>
                <w:sz w:val="21"/>
                <w:szCs w:val="21"/>
                <w:lang w:val="en-US" w:eastAsia="zh-CN"/>
              </w:rPr>
            </w:pPr>
            <w:r>
              <w:rPr>
                <w:rFonts w:hint="eastAsia" w:ascii="宋体" w:eastAsia="宋体" w:cs="宋体"/>
                <w:sz w:val="21"/>
                <w:szCs w:val="21"/>
                <w:lang w:val="en-US" w:eastAsia="zh-CN"/>
              </w:rPr>
              <w:t>Jingdong Li</w:t>
            </w:r>
          </w:p>
        </w:tc>
        <w:tc>
          <w:tcPr>
            <w:tcW w:w="729" w:type="dxa"/>
            <w:vAlign w:val="center"/>
          </w:tcPr>
          <w:p>
            <w:pPr>
              <w:spacing w:line="360" w:lineRule="auto"/>
              <w:jc w:val="center"/>
              <w:rPr>
                <w:rFonts w:hint="default" w:ascii="宋体" w:eastAsia="宋体" w:cs="宋体"/>
                <w:sz w:val="21"/>
                <w:szCs w:val="21"/>
                <w:lang w:val="en-US" w:eastAsia="zh-CN"/>
              </w:rPr>
            </w:pPr>
            <w:r>
              <w:rPr>
                <w:rFonts w:hint="eastAsia" w:ascii="宋体" w:eastAsia="宋体" w:cs="宋体"/>
                <w:sz w:val="21"/>
                <w:szCs w:val="21"/>
                <w:lang w:val="en-US" w:eastAsia="zh-CN"/>
              </w:rPr>
              <w:t>Jingdong Li</w:t>
            </w:r>
          </w:p>
        </w:tc>
        <w:tc>
          <w:tcPr>
            <w:tcW w:w="1206" w:type="dxa"/>
            <w:vAlign w:val="top"/>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Jingdong Li, Yongfu Xiong, Gang Yang, Lixing Zhang, Muhammad Riaz, Jian Xu, Qiang Li, Zhaohui Tang</w:t>
            </w:r>
          </w:p>
        </w:tc>
        <w:tc>
          <w:tcPr>
            <w:tcW w:w="530"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0</w:t>
            </w:r>
          </w:p>
        </w:tc>
        <w:tc>
          <w:tcPr>
            <w:tcW w:w="493"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0</w:t>
            </w:r>
          </w:p>
        </w:tc>
        <w:tc>
          <w:tcPr>
            <w:tcW w:w="778"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4</w:t>
            </w:r>
          </w:p>
        </w:tc>
        <w:tc>
          <w:tcPr>
            <w:tcW w:w="2076" w:type="dxa"/>
            <w:vAlign w:val="center"/>
          </w:tcPr>
          <w:p>
            <w:pPr>
              <w:spacing w:line="360" w:lineRule="auto"/>
              <w:jc w:val="center"/>
              <w:rPr>
                <w:rFonts w:hint="default" w:ascii="宋体" w:eastAsia="宋体" w:cs="宋体"/>
                <w:sz w:val="21"/>
                <w:szCs w:val="21"/>
                <w:lang w:val="en-US" w:eastAsia="zh-CN"/>
              </w:rPr>
            </w:pPr>
            <w:r>
              <w:rPr>
                <w:rFonts w:hint="default" w:ascii="宋体" w:eastAsia="宋体" w:cs="宋体"/>
                <w:sz w:val="21"/>
                <w:szCs w:val="21"/>
                <w:lang w:val="en-US" w:eastAsia="zh-CN"/>
              </w:rPr>
              <w:t>Effects of different preoperative biliary drainage methods for resected malignant obstruction jaundice on the incidence rate of implantation metastasis: A meta-analysis</w:t>
            </w:r>
            <w:r>
              <w:rPr>
                <w:rFonts w:hint="eastAsia" w:ascii="宋体" w:eastAsia="宋体" w:cs="宋体"/>
                <w:sz w:val="21"/>
                <w:szCs w:val="21"/>
                <w:lang w:val="en-US" w:eastAsia="zh-CN"/>
              </w:rPr>
              <w:t>/</w:t>
            </w:r>
            <w:r>
              <w:rPr>
                <w:rFonts w:hint="default" w:ascii="宋体" w:eastAsia="宋体" w:cs="宋体"/>
                <w:sz w:val="21"/>
                <w:szCs w:val="21"/>
                <w:lang w:val="en-US" w:eastAsia="zh-CN"/>
              </w:rPr>
              <w:t>Oncol Lett</w:t>
            </w:r>
            <w:r>
              <w:rPr>
                <w:rFonts w:hint="eastAsia" w:ascii="宋体" w:eastAsia="宋体" w:cs="宋体"/>
                <w:sz w:val="21"/>
                <w:szCs w:val="21"/>
                <w:lang w:val="en-US" w:eastAsia="zh-CN"/>
              </w:rPr>
              <w:t>/Jingdong Li</w:t>
            </w:r>
          </w:p>
        </w:tc>
        <w:tc>
          <w:tcPr>
            <w:tcW w:w="911" w:type="dxa"/>
            <w:vAlign w:val="center"/>
          </w:tcPr>
          <w:p>
            <w:pPr>
              <w:spacing w:line="360" w:lineRule="auto"/>
              <w:jc w:val="center"/>
              <w:rPr>
                <w:rFonts w:hint="eastAsia" w:ascii="宋体" w:eastAsia="宋体" w:cs="宋体"/>
                <w:sz w:val="21"/>
                <w:szCs w:val="21"/>
                <w:lang w:val="en-US" w:eastAsia="zh-CN"/>
              </w:rPr>
            </w:pPr>
            <w:r>
              <w:rPr>
                <w:rFonts w:hint="default" w:ascii="宋体" w:eastAsia="宋体" w:cs="宋体"/>
                <w:sz w:val="21"/>
                <w:szCs w:val="21"/>
                <w:lang w:val="en-US" w:eastAsia="zh-CN"/>
              </w:rPr>
              <w:t>2020; 20: 2217-2224</w:t>
            </w:r>
          </w:p>
        </w:tc>
        <w:tc>
          <w:tcPr>
            <w:tcW w:w="757"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szCs w:val="21"/>
              </w:rPr>
              <w:t>2020 年6月24日</w:t>
            </w:r>
          </w:p>
        </w:tc>
        <w:tc>
          <w:tcPr>
            <w:tcW w:w="659" w:type="dxa"/>
            <w:vAlign w:val="center"/>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Jingdong Li</w:t>
            </w:r>
          </w:p>
        </w:tc>
        <w:tc>
          <w:tcPr>
            <w:tcW w:w="729" w:type="dxa"/>
            <w:vAlign w:val="center"/>
          </w:tcPr>
          <w:p>
            <w:pPr>
              <w:spacing w:line="360" w:lineRule="auto"/>
              <w:jc w:val="center"/>
              <w:rPr>
                <w:rFonts w:hint="default" w:ascii="宋体" w:eastAsia="宋体" w:cs="宋体"/>
                <w:sz w:val="21"/>
                <w:szCs w:val="21"/>
                <w:lang w:val="en-US" w:eastAsia="zh-CN"/>
              </w:rPr>
            </w:pPr>
            <w:r>
              <w:rPr>
                <w:rFonts w:hint="eastAsia" w:ascii="宋体" w:eastAsia="宋体" w:cs="宋体"/>
                <w:sz w:val="21"/>
                <w:szCs w:val="21"/>
                <w:lang w:val="en-US" w:eastAsia="zh-CN"/>
              </w:rPr>
              <w:t>Gang Yang</w:t>
            </w:r>
          </w:p>
        </w:tc>
        <w:tc>
          <w:tcPr>
            <w:tcW w:w="1206" w:type="dxa"/>
            <w:vAlign w:val="top"/>
          </w:tcPr>
          <w:p>
            <w:pPr>
              <w:spacing w:line="360" w:lineRule="auto"/>
              <w:jc w:val="center"/>
              <w:rPr>
                <w:rFonts w:hint="eastAsia" w:ascii="宋体" w:eastAsia="宋体" w:cs="宋体"/>
                <w:sz w:val="21"/>
                <w:szCs w:val="21"/>
                <w:lang w:val="en-US" w:eastAsia="zh-CN"/>
              </w:rPr>
            </w:pPr>
            <w:r>
              <w:rPr>
                <w:rFonts w:hint="eastAsia" w:ascii="宋体" w:eastAsia="宋体" w:cs="宋体"/>
                <w:sz w:val="21"/>
                <w:szCs w:val="21"/>
                <w:lang w:val="en-US" w:eastAsia="zh-CN"/>
              </w:rPr>
              <w:t>GANG YANG, YONGFU XIONG, JI SUN, TAO TANG, WEINAN LI, GUAN WANG,JINGDONG LI</w:t>
            </w:r>
          </w:p>
        </w:tc>
        <w:tc>
          <w:tcPr>
            <w:tcW w:w="530"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0</w:t>
            </w:r>
          </w:p>
        </w:tc>
        <w:tc>
          <w:tcPr>
            <w:tcW w:w="493"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0</w:t>
            </w:r>
          </w:p>
        </w:tc>
        <w:tc>
          <w:tcPr>
            <w:tcW w:w="778"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eastAsia="宋体" w:cs="宋体"/>
                <w:sz w:val="21"/>
                <w:szCs w:val="21"/>
                <w:lang w:val="en-US" w:eastAsia="zh-CN"/>
              </w:rPr>
              <w:t>5</w:t>
            </w:r>
          </w:p>
        </w:tc>
        <w:tc>
          <w:tcPr>
            <w:tcW w:w="2076" w:type="dxa"/>
            <w:vAlign w:val="center"/>
          </w:tcPr>
          <w:p>
            <w:pPr>
              <w:spacing w:line="360" w:lineRule="auto"/>
              <w:jc w:val="center"/>
              <w:rPr>
                <w:rFonts w:hint="eastAsia" w:ascii="宋体" w:eastAsia="宋体" w:cs="宋体"/>
                <w:sz w:val="21"/>
                <w:szCs w:val="21"/>
                <w:lang w:val="en-US" w:eastAsia="zh-CN"/>
              </w:rPr>
            </w:pPr>
            <w:r>
              <w:rPr>
                <w:rFonts w:hint="default" w:ascii="宋体" w:eastAsia="宋体" w:cs="宋体"/>
                <w:sz w:val="21"/>
                <w:szCs w:val="21"/>
                <w:lang w:val="en-US" w:eastAsia="zh-CN"/>
              </w:rPr>
              <w:t>Integrated mRNA and lncRNA expression profiling for exploring metastatic biomarkers of human intrahepatic cholangiocarcinoma</w:t>
            </w:r>
            <w:r>
              <w:rPr>
                <w:rFonts w:hint="eastAsia" w:ascii="宋体" w:eastAsia="宋体" w:cs="宋体"/>
                <w:sz w:val="21"/>
                <w:szCs w:val="21"/>
                <w:lang w:val="en-US" w:eastAsia="zh-CN"/>
              </w:rPr>
              <w:t>/</w:t>
            </w:r>
            <w:r>
              <w:rPr>
                <w:rFonts w:hint="default" w:ascii="宋体" w:eastAsia="宋体" w:cs="宋体"/>
                <w:sz w:val="21"/>
                <w:szCs w:val="21"/>
                <w:lang w:val="en-US" w:eastAsia="zh-CN"/>
              </w:rPr>
              <w:t>American journal of cancer research</w:t>
            </w:r>
            <w:r>
              <w:rPr>
                <w:rFonts w:hint="eastAsia" w:ascii="宋体" w:eastAsia="宋体" w:cs="宋体"/>
                <w:sz w:val="21"/>
                <w:szCs w:val="21"/>
                <w:lang w:val="en-US" w:eastAsia="zh-CN"/>
              </w:rPr>
              <w:t>/</w:t>
            </w:r>
            <w:r>
              <w:rPr>
                <w:rFonts w:hint="default" w:ascii="宋体" w:eastAsia="宋体" w:cs="宋体"/>
                <w:sz w:val="21"/>
                <w:szCs w:val="21"/>
                <w:lang w:val="en-US" w:eastAsia="zh-CN"/>
              </w:rPr>
              <w:t>Zhaohui Tang</w:t>
            </w:r>
          </w:p>
        </w:tc>
        <w:tc>
          <w:tcPr>
            <w:tcW w:w="911" w:type="dxa"/>
            <w:vAlign w:val="center"/>
          </w:tcPr>
          <w:p>
            <w:pPr>
              <w:spacing w:line="360" w:lineRule="auto"/>
              <w:jc w:val="center"/>
              <w:rPr>
                <w:rFonts w:hint="eastAsia" w:ascii="宋体" w:eastAsia="宋体" w:cs="宋体"/>
                <w:sz w:val="21"/>
                <w:szCs w:val="21"/>
                <w:lang w:val="en-US" w:eastAsia="zh-CN"/>
              </w:rPr>
            </w:pPr>
            <w:r>
              <w:rPr>
                <w:rFonts w:hint="default" w:ascii="宋体" w:eastAsia="宋体" w:cs="宋体"/>
                <w:sz w:val="21"/>
                <w:szCs w:val="21"/>
                <w:lang w:val="en-US" w:eastAsia="zh-CN"/>
              </w:rPr>
              <w:t>2017, 7(3): 688-99</w:t>
            </w:r>
          </w:p>
        </w:tc>
        <w:tc>
          <w:tcPr>
            <w:tcW w:w="757" w:type="dxa"/>
            <w:vAlign w:val="center"/>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szCs w:val="21"/>
              </w:rPr>
              <w:t>2017 年3月1 日</w:t>
            </w:r>
          </w:p>
        </w:tc>
        <w:tc>
          <w:tcPr>
            <w:tcW w:w="659" w:type="dxa"/>
            <w:vAlign w:val="center"/>
          </w:tcPr>
          <w:p>
            <w:pPr>
              <w:spacing w:line="360" w:lineRule="auto"/>
              <w:jc w:val="center"/>
              <w:rPr>
                <w:rFonts w:hint="eastAsia" w:ascii="宋体" w:eastAsia="宋体" w:cs="宋体"/>
                <w:sz w:val="21"/>
                <w:szCs w:val="21"/>
                <w:lang w:val="en-US" w:eastAsia="zh-CN"/>
              </w:rPr>
            </w:pPr>
            <w:r>
              <w:rPr>
                <w:rFonts w:hint="default" w:ascii="宋体" w:eastAsia="宋体" w:cs="宋体"/>
                <w:sz w:val="21"/>
                <w:szCs w:val="21"/>
                <w:lang w:val="en-US" w:eastAsia="zh-CN"/>
              </w:rPr>
              <w:t>Zhaohui Tang</w:t>
            </w:r>
          </w:p>
        </w:tc>
        <w:tc>
          <w:tcPr>
            <w:tcW w:w="729" w:type="dxa"/>
            <w:vAlign w:val="center"/>
          </w:tcPr>
          <w:p>
            <w:pPr>
              <w:spacing w:line="360" w:lineRule="auto"/>
              <w:jc w:val="center"/>
              <w:rPr>
                <w:rFonts w:hint="eastAsia" w:ascii="宋体" w:eastAsia="宋体" w:cs="宋体"/>
                <w:sz w:val="21"/>
                <w:szCs w:val="21"/>
                <w:lang w:val="en-US" w:eastAsia="zh-CN"/>
              </w:rPr>
            </w:pPr>
            <w:r>
              <w:rPr>
                <w:rFonts w:hint="default" w:ascii="宋体" w:eastAsia="宋体" w:cs="宋体"/>
                <w:sz w:val="21"/>
                <w:szCs w:val="21"/>
                <w:lang w:val="en-US" w:eastAsia="zh-CN"/>
              </w:rPr>
              <w:t>Lisheng Lv</w:t>
            </w:r>
          </w:p>
        </w:tc>
        <w:tc>
          <w:tcPr>
            <w:tcW w:w="1206"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Lisheng Lv, Miaoyan Wei, Peiyi Lin, Zhisheng Chen, Peng Gong, Zhiwei Quan, Zhaohui Tang</w:t>
            </w:r>
          </w:p>
        </w:tc>
        <w:tc>
          <w:tcPr>
            <w:tcW w:w="530"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19</w:t>
            </w:r>
          </w:p>
        </w:tc>
        <w:tc>
          <w:tcPr>
            <w:tcW w:w="493" w:type="dxa"/>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sz w:val="21"/>
                <w:szCs w:val="21"/>
                <w:lang w:val="en-US" w:eastAsia="zh-CN"/>
              </w:rPr>
              <w:t>19</w:t>
            </w:r>
          </w:p>
        </w:tc>
        <w:tc>
          <w:tcPr>
            <w:tcW w:w="778" w:type="dxa"/>
            <w:vAlign w:val="top"/>
          </w:tcPr>
          <w:p>
            <w:pPr>
              <w:spacing w:line="360" w:lineRule="auto"/>
              <w:jc w:val="center"/>
              <w:rPr>
                <w:rFonts w:hint="eastAsia" w:ascii="宋体" w:hAnsi="Calibri" w:eastAsia="宋体" w:cs="宋体"/>
                <w:kern w:val="2"/>
                <w:sz w:val="21"/>
                <w:szCs w:val="21"/>
                <w:lang w:val="en-US" w:eastAsia="zh-CN" w:bidi="ar-SA"/>
              </w:rPr>
            </w:pPr>
            <w:r>
              <w:rPr>
                <w:rFonts w:hint="eastAsia" w:ascii="宋体" w:cs="宋体"/>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1" w:type="dxa"/>
            <w:gridSpan w:val="7"/>
            <w:vAlign w:val="center"/>
          </w:tcPr>
          <w:p>
            <w:pPr>
              <w:spacing w:line="360" w:lineRule="auto"/>
              <w:jc w:val="center"/>
              <w:rPr>
                <w:rFonts w:hint="default" w:ascii="宋体" w:hAnsi="Calibri" w:eastAsia="宋体" w:cs="宋体"/>
                <w:kern w:val="2"/>
                <w:sz w:val="21"/>
                <w:szCs w:val="21"/>
                <w:lang w:val="en-US" w:eastAsia="zh-CN" w:bidi="ar-SA"/>
              </w:rPr>
            </w:pPr>
            <w:r>
              <w:rPr>
                <w:rFonts w:hint="eastAsia" w:ascii="宋体" w:cs="宋体"/>
                <w:kern w:val="2"/>
                <w:sz w:val="21"/>
                <w:szCs w:val="21"/>
                <w:lang w:val="en-US" w:eastAsia="zh-CN" w:bidi="ar-SA"/>
              </w:rPr>
              <w:t>合计</w:t>
            </w:r>
          </w:p>
        </w:tc>
        <w:tc>
          <w:tcPr>
            <w:tcW w:w="530" w:type="dxa"/>
            <w:vAlign w:val="center"/>
          </w:tcPr>
          <w:p>
            <w:pPr>
              <w:spacing w:line="360" w:lineRule="auto"/>
              <w:jc w:val="center"/>
              <w:rPr>
                <w:rFonts w:hint="default" w:ascii="宋体" w:cs="宋体"/>
                <w:sz w:val="21"/>
                <w:szCs w:val="21"/>
                <w:lang w:val="en-US" w:eastAsia="zh-CN"/>
              </w:rPr>
            </w:pPr>
            <w:r>
              <w:rPr>
                <w:rFonts w:hint="eastAsia" w:ascii="宋体" w:cs="宋体"/>
                <w:sz w:val="21"/>
                <w:szCs w:val="21"/>
                <w:lang w:val="en-US" w:eastAsia="zh-CN"/>
              </w:rPr>
              <w:t>30</w:t>
            </w:r>
          </w:p>
        </w:tc>
        <w:tc>
          <w:tcPr>
            <w:tcW w:w="493" w:type="dxa"/>
            <w:vAlign w:val="center"/>
          </w:tcPr>
          <w:p>
            <w:pPr>
              <w:spacing w:line="360" w:lineRule="auto"/>
              <w:jc w:val="center"/>
              <w:rPr>
                <w:rFonts w:hint="default" w:ascii="宋体" w:cs="宋体"/>
                <w:sz w:val="21"/>
                <w:szCs w:val="21"/>
                <w:lang w:val="en-US" w:eastAsia="zh-CN"/>
              </w:rPr>
            </w:pPr>
            <w:r>
              <w:rPr>
                <w:rFonts w:hint="eastAsia" w:ascii="宋体" w:cs="宋体"/>
                <w:sz w:val="21"/>
                <w:szCs w:val="21"/>
                <w:lang w:val="en-US" w:eastAsia="zh-CN"/>
              </w:rPr>
              <w:t>30</w:t>
            </w:r>
          </w:p>
        </w:tc>
        <w:tc>
          <w:tcPr>
            <w:tcW w:w="778" w:type="dxa"/>
            <w:vAlign w:val="top"/>
          </w:tcPr>
          <w:p>
            <w:pPr>
              <w:spacing w:line="360" w:lineRule="auto"/>
              <w:jc w:val="center"/>
              <w:rPr>
                <w:rFonts w:hint="eastAsia" w:ascii="宋体" w:hAnsi="Calibri" w:eastAsia="宋体" w:cs="宋体"/>
                <w:kern w:val="2"/>
                <w:sz w:val="21"/>
                <w:szCs w:val="21"/>
                <w:lang w:val="en-US" w:eastAsia="zh-CN" w:bidi="ar-SA"/>
              </w:rPr>
            </w:pPr>
          </w:p>
        </w:tc>
      </w:tr>
    </w:tbl>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244355"/>
      <w:docPartList>
        <w:docPartGallery w:val="autotext"/>
      </w:docPartList>
    </w:sdtPr>
    <w:sdtContent>
      <w:p>
        <w:pPr>
          <w:pStyle w:val="6"/>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EFB68"/>
    <w:multiLevelType w:val="singleLevel"/>
    <w:tmpl w:val="460EFB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5A6946"/>
    <w:rsid w:val="079903B9"/>
    <w:rsid w:val="0B9D0195"/>
    <w:rsid w:val="0D334FF8"/>
    <w:rsid w:val="0E4D3F08"/>
    <w:rsid w:val="0ED35847"/>
    <w:rsid w:val="0FA1748A"/>
    <w:rsid w:val="13392CAD"/>
    <w:rsid w:val="148C0BDB"/>
    <w:rsid w:val="1D167BBB"/>
    <w:rsid w:val="21A516FB"/>
    <w:rsid w:val="22F6507E"/>
    <w:rsid w:val="27FB6C3E"/>
    <w:rsid w:val="358B13C6"/>
    <w:rsid w:val="36CB62E7"/>
    <w:rsid w:val="43713C1A"/>
    <w:rsid w:val="44113861"/>
    <w:rsid w:val="46293F7E"/>
    <w:rsid w:val="4E691A82"/>
    <w:rsid w:val="638F4022"/>
    <w:rsid w:val="6BA442DD"/>
    <w:rsid w:val="6E5A1698"/>
    <w:rsid w:val="75B424F6"/>
    <w:rsid w:val="78656BA2"/>
    <w:rsid w:val="78847910"/>
    <w:rsid w:val="7BC36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spacing w:line="360" w:lineRule="auto"/>
      <w:ind w:firstLine="200" w:firstLineChars="200"/>
    </w:pPr>
    <w:rPr>
      <w:rFonts w:ascii="仿宋_GB2312" w:hAnsi="仿宋_GB2312" w:eastAsia="宋体" w:cs="Times New Roman"/>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szCs w:val="20"/>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WRGHO.COM</Company>
  <Pages>7</Pages>
  <Words>2684</Words>
  <Characters>3763</Characters>
  <Lines>289</Lines>
  <Paragraphs>66</Paragraphs>
  <TotalTime>2</TotalTime>
  <ScaleCrop>false</ScaleCrop>
  <LinksUpToDate>false</LinksUpToDate>
  <CharactersWithSpaces>3961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2020-06-03T03:10:00Z</dcterms:created>
  <dc:creator>WRGHO</dc:creator>
  <cp:lastModifiedBy>易燃，易爆炸</cp:lastModifiedBy>
  <cp:lastPrinted>2022-04-18T11:32:00Z</cp:lastPrinted>
  <dcterms:modified xsi:type="dcterms:W3CDTF">2022-04-21T01:19:43Z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65928D691C7241A783B271A291A61D89</vt:lpwstr>
  </property>
</Properties>
</file>