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b/>
          <w:bCs/>
          <w:spacing w:val="-14"/>
          <w:w w:val="8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4"/>
          <w:w w:val="85"/>
          <w:sz w:val="44"/>
          <w:szCs w:val="44"/>
        </w:rPr>
        <w:t>南充市202</w:t>
      </w:r>
      <w:r>
        <w:rPr>
          <w:rFonts w:ascii="方正小标宋简体" w:eastAsia="方正小标宋简体"/>
          <w:b/>
          <w:bCs/>
          <w:spacing w:val="-14"/>
          <w:w w:val="85"/>
          <w:sz w:val="44"/>
          <w:szCs w:val="44"/>
        </w:rPr>
        <w:t>2</w:t>
      </w:r>
      <w:r>
        <w:rPr>
          <w:rFonts w:hint="eastAsia" w:ascii="方正小标宋简体" w:eastAsia="方正小标宋简体"/>
          <w:b/>
          <w:bCs/>
          <w:spacing w:val="-14"/>
          <w:w w:val="85"/>
          <w:sz w:val="44"/>
          <w:szCs w:val="44"/>
        </w:rPr>
        <w:t>年度四川省科学技术奖提名公示情况表</w:t>
      </w:r>
    </w:p>
    <w:p>
      <w:pPr>
        <w:spacing w:line="700" w:lineRule="exact"/>
        <w:jc w:val="center"/>
        <w:rPr>
          <w:rFonts w:ascii="方正小标宋简体" w:eastAsia="方正小标宋简体"/>
          <w:b/>
          <w:bCs/>
          <w:spacing w:val="-14"/>
          <w:w w:val="8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4"/>
          <w:w w:val="85"/>
          <w:sz w:val="44"/>
          <w:szCs w:val="44"/>
        </w:rPr>
        <w:t>（科技进步奖）</w:t>
      </w:r>
    </w:p>
    <w:p>
      <w:pPr>
        <w:spacing w:line="360" w:lineRule="auto"/>
        <w:jc w:val="center"/>
        <w:outlineLvl w:val="1"/>
        <w:rPr>
          <w:rFonts w:ascii="宋体" w:cs="Times New Roman"/>
          <w:b/>
          <w:color w:val="000000"/>
          <w:kern w:val="0"/>
          <w:sz w:val="28"/>
        </w:rPr>
      </w:pPr>
    </w:p>
    <w:p>
      <w:pPr>
        <w:spacing w:line="360" w:lineRule="auto"/>
        <w:jc w:val="center"/>
        <w:outlineLvl w:val="1"/>
        <w:rPr>
          <w:rFonts w:ascii="方正小标宋简体" w:eastAsia="方正小标宋简体"/>
          <w:spacing w:val="-14"/>
          <w:w w:val="85"/>
          <w:sz w:val="44"/>
          <w:szCs w:val="44"/>
        </w:rPr>
      </w:pPr>
      <w:r>
        <w:rPr>
          <w:rFonts w:hint="eastAsia" w:ascii="宋体" w:cs="Times New Roman"/>
          <w:b/>
          <w:color w:val="000000"/>
          <w:kern w:val="0"/>
          <w:sz w:val="28"/>
        </w:rPr>
        <w:t>一、项目基本情况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7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9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项目名称</w:t>
            </w:r>
          </w:p>
        </w:tc>
        <w:tc>
          <w:tcPr>
            <w:tcW w:w="7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9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</w:rPr>
              <w:t>肥胖及其代谢性疾病外科治疗的体系建立与应用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9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主要完成单位</w:t>
            </w:r>
          </w:p>
        </w:tc>
        <w:tc>
          <w:tcPr>
            <w:tcW w:w="7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9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川北医学院附属医院、暨南大学附属第一医院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9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主要完成人</w:t>
            </w:r>
          </w:p>
        </w:tc>
        <w:tc>
          <w:tcPr>
            <w:tcW w:w="7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9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任亦星、杨景哥、肖佳、何明、鲜印、孔祥鑫、张源、魏寿江、吕小东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</w:trPr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9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项目简介</w:t>
            </w:r>
          </w:p>
        </w:tc>
        <w:tc>
          <w:tcPr>
            <w:tcW w:w="7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90" w:lineRule="exact"/>
              <w:ind w:firstLine="420" w:firstLineChars="20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肥胖及</w:t>
            </w:r>
            <w:r>
              <w:rPr>
                <w:rFonts w:hint="eastAsia" w:ascii="宋体" w:cs="Times New Roman"/>
              </w:rPr>
              <w:t>其代谢性</w:t>
            </w:r>
            <w:r>
              <w:rPr>
                <w:rFonts w:hint="eastAsia" w:ascii="宋体" w:cs="Times New Roman"/>
                <w:color w:val="000000"/>
              </w:rPr>
              <w:t>疾病已成为发达国家和发展中国家共同面对的新挑战。当前中国的肥胖人口数位列世界第一。肥胖引起的多种相关疾病，例如：2型糖尿病（T</w:t>
            </w:r>
            <w:r>
              <w:rPr>
                <w:rFonts w:ascii="宋体" w:cs="Times New Roman"/>
                <w:color w:val="000000"/>
              </w:rPr>
              <w:t>2DM</w:t>
            </w:r>
            <w:r>
              <w:rPr>
                <w:rFonts w:hint="eastAsia" w:ascii="宋体" w:cs="Times New Roman"/>
                <w:color w:val="000000"/>
              </w:rPr>
              <w:t>）、高血压、多囊卵巢综合征等，严重影响公众健康。目前，代谢外科在欧美国家已成为外科体系的一个重要分支。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既往因</w:t>
            </w:r>
            <w:r>
              <w:rPr>
                <w:rFonts w:hint="eastAsia" w:ascii="宋体" w:cs="Times New Roman"/>
                <w:color w:val="000000"/>
              </w:rPr>
              <w:t>肥胖人口较少、社会接受度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较低</w:t>
            </w:r>
            <w:r>
              <w:rPr>
                <w:rFonts w:hint="eastAsia" w:ascii="宋体" w:cs="Times New Roman"/>
                <w:color w:val="000000"/>
              </w:rPr>
              <w:t>等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因素</w:t>
            </w:r>
            <w:r>
              <w:rPr>
                <w:rFonts w:ascii="宋体" w:cs="Times New Roman"/>
                <w:color w:val="000000"/>
              </w:rPr>
              <w:t>，</w:t>
            </w:r>
            <w:r>
              <w:rPr>
                <w:rFonts w:hint="eastAsia" w:ascii="宋体" w:cs="Times New Roman"/>
                <w:color w:val="000000"/>
              </w:rPr>
              <w:t>国内代谢外科的发展与欧美国家有一定的差距。本项目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推动</w:t>
            </w:r>
            <w:r>
              <w:rPr>
                <w:rFonts w:hint="eastAsia" w:ascii="宋体" w:cs="Times New Roman"/>
                <w:color w:val="000000"/>
              </w:rPr>
              <w:t>了肥胖及相关疾病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手术治疗</w:t>
            </w:r>
            <w:r>
              <w:rPr>
                <w:rFonts w:hint="eastAsia" w:ascii="宋体" w:cs="Times New Roman"/>
                <w:color w:val="000000"/>
              </w:rPr>
              <w:t>的中国体系建立与应用，并深入研究肥胖及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其代谢</w:t>
            </w:r>
            <w:r>
              <w:rPr>
                <w:rFonts w:hint="eastAsia" w:ascii="宋体" w:cs="Times New Roman"/>
                <w:color w:val="000000"/>
              </w:rPr>
              <w:t>疾病外科治疗的基础和临床。主要取得了以下成果：（</w:t>
            </w:r>
            <w:r>
              <w:rPr>
                <w:rFonts w:ascii="宋体" w:cs="Times New Roman"/>
                <w:color w:val="000000"/>
              </w:rPr>
              <w:t>1</w:t>
            </w:r>
            <w:r>
              <w:rPr>
                <w:rFonts w:hint="eastAsia" w:ascii="宋体" w:cs="Times New Roman"/>
                <w:color w:val="000000"/>
              </w:rPr>
              <w:t>）持续拓展代谢手术的临床应用。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我们</w:t>
            </w:r>
            <w:r>
              <w:rPr>
                <w:rFonts w:hint="eastAsia" w:ascii="宋体" w:cs="Times New Roman"/>
                <w:color w:val="000000"/>
              </w:rPr>
              <w:t>先后首次在国内外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报道了</w:t>
            </w:r>
            <w:r>
              <w:rPr>
                <w:rFonts w:hint="eastAsia" w:ascii="宋体" w:cs="Times New Roman"/>
                <w:color w:val="000000"/>
              </w:rPr>
              <w:t>S</w:t>
            </w:r>
            <w:r>
              <w:rPr>
                <w:rFonts w:ascii="宋体" w:cs="Times New Roman"/>
                <w:color w:val="000000"/>
              </w:rPr>
              <w:t>G</w:t>
            </w:r>
            <w:r>
              <w:rPr>
                <w:rFonts w:hint="eastAsia" w:ascii="宋体" w:cs="Times New Roman"/>
                <w:color w:val="000000"/>
              </w:rPr>
              <w:t>能通过降低血脂来缓解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高脂血症</w:t>
            </w:r>
            <w:r>
              <w:rPr>
                <w:rFonts w:hint="eastAsia" w:ascii="宋体" w:cs="Times New Roman"/>
                <w:color w:val="000000"/>
              </w:rPr>
              <w:t>胰腺炎的复发、降低肥胖患者的促甲状腺激素。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针对</w:t>
            </w:r>
            <w:r>
              <w:rPr>
                <w:rFonts w:hint="eastAsia" w:ascii="宋体" w:cs="Times New Roman"/>
                <w:color w:val="000000"/>
              </w:rPr>
              <w:t>部分肥胖型T</w:t>
            </w:r>
            <w:r>
              <w:rPr>
                <w:rFonts w:ascii="宋体" w:cs="Times New Roman"/>
                <w:color w:val="000000"/>
              </w:rPr>
              <w:t>2DM</w:t>
            </w:r>
            <w:r>
              <w:rPr>
                <w:rFonts w:hint="eastAsia" w:ascii="宋体" w:cs="Times New Roman"/>
                <w:color w:val="000000"/>
              </w:rPr>
              <w:t>同时合并限制性肺功能障碍的患者，我们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还</w:t>
            </w:r>
            <w:r>
              <w:rPr>
                <w:rFonts w:hint="eastAsia" w:ascii="宋体" w:cs="Times New Roman"/>
                <w:color w:val="000000"/>
              </w:rPr>
              <w:t>首次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证实</w:t>
            </w:r>
            <w:r>
              <w:rPr>
                <w:rFonts w:hint="eastAsia" w:ascii="宋体" w:cs="Times New Roman"/>
                <w:color w:val="000000"/>
              </w:rPr>
              <w:t>了</w:t>
            </w:r>
            <w:r>
              <w:rPr>
                <w:rFonts w:ascii="宋体" w:cs="Times New Roman"/>
                <w:color w:val="000000"/>
              </w:rPr>
              <w:t>SG</w:t>
            </w:r>
            <w:r>
              <w:rPr>
                <w:rFonts w:hint="eastAsia" w:ascii="宋体" w:cs="Times New Roman"/>
                <w:color w:val="000000"/>
              </w:rPr>
              <w:t>能显著逆转肺功能障碍，此外我们还首次证实了S</w:t>
            </w:r>
            <w:r>
              <w:rPr>
                <w:rFonts w:ascii="宋体" w:cs="Times New Roman"/>
                <w:color w:val="000000"/>
              </w:rPr>
              <w:t>G</w:t>
            </w:r>
            <w:r>
              <w:rPr>
                <w:rFonts w:hint="eastAsia" w:ascii="宋体" w:cs="Times New Roman"/>
                <w:color w:val="000000"/>
              </w:rPr>
              <w:t>和R</w:t>
            </w:r>
            <w:r>
              <w:rPr>
                <w:rFonts w:ascii="宋体" w:cs="Times New Roman"/>
                <w:color w:val="000000"/>
              </w:rPr>
              <w:t>YGB</w:t>
            </w:r>
            <w:r>
              <w:rPr>
                <w:rFonts w:hint="eastAsia" w:ascii="宋体" w:cs="Times New Roman"/>
                <w:color w:val="000000"/>
              </w:rPr>
              <w:t>均能显著降低肥胖患者的</w:t>
            </w:r>
            <w:r>
              <w:rPr>
                <w:rFonts w:ascii="宋体" w:cs="Times New Roman"/>
                <w:color w:val="000000"/>
              </w:rPr>
              <w:t>ALT,AST</w:t>
            </w:r>
            <w:r>
              <w:rPr>
                <w:rFonts w:hint="eastAsia" w:ascii="宋体" w:cs="Times New Roman"/>
                <w:color w:val="000000"/>
              </w:rPr>
              <w:t>等肝功能相关酶学指标。</w:t>
            </w:r>
            <w:r>
              <w:rPr>
                <w:rFonts w:hint="eastAsia" w:ascii="宋体" w:cs="Times New Roman"/>
              </w:rPr>
              <w:t>这些成果</w:t>
            </w:r>
            <w:r>
              <w:rPr>
                <w:rFonts w:hint="eastAsia" w:ascii="宋体" w:cs="Times New Roman"/>
                <w:color w:val="000000"/>
              </w:rPr>
              <w:t>为肥胖相关性疾病的治疗提供了新思路。（</w:t>
            </w:r>
            <w:r>
              <w:rPr>
                <w:rFonts w:ascii="宋体" w:cs="Times New Roman"/>
                <w:color w:val="000000"/>
              </w:rPr>
              <w:t>2</w:t>
            </w:r>
            <w:r>
              <w:rPr>
                <w:rFonts w:hint="eastAsia" w:ascii="宋体" w:cs="Times New Roman"/>
                <w:color w:val="000000"/>
              </w:rPr>
              <w:t>）持续推动代谢手术在中国本土应用体系的建立。在国内外我们首次证实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了</w:t>
            </w:r>
            <w:r>
              <w:rPr>
                <w:rFonts w:hint="eastAsia" w:ascii="宋体" w:cs="Times New Roman"/>
                <w:color w:val="000000"/>
              </w:rPr>
              <w:t>术中建立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的</w:t>
            </w:r>
            <w:r>
              <w:rPr>
                <w:rFonts w:hint="eastAsia" w:ascii="宋体" w:cs="Times New Roman"/>
                <w:color w:val="000000"/>
              </w:rPr>
              <w:t>胃囊体积与术后疗效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密切相关</w:t>
            </w:r>
            <w:r>
              <w:rPr>
                <w:rFonts w:hint="eastAsia" w:ascii="宋体" w:cs="Times New Roman"/>
                <w:color w:val="000000"/>
              </w:rPr>
              <w:t>，且证实精确的胃囊体积测量能更有效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的</w:t>
            </w:r>
            <w:r>
              <w:rPr>
                <w:rFonts w:hint="eastAsia" w:ascii="宋体" w:cs="Times New Roman"/>
                <w:color w:val="000000"/>
              </w:rPr>
              <w:t>控制中国人群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术后</w:t>
            </w:r>
            <w:r>
              <w:rPr>
                <w:rFonts w:hint="eastAsia" w:ascii="宋体" w:cs="Times New Roman"/>
                <w:color w:val="000000"/>
              </w:rPr>
              <w:t>的体重和血糖。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同时明确了</w:t>
            </w:r>
            <w:r>
              <w:rPr>
                <w:rFonts w:ascii="宋体" w:cs="Times New Roman"/>
                <w:color w:val="000000"/>
                <w:lang w:eastAsia="zh-Hans"/>
              </w:rPr>
              <w:t>Roux-en-Y 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胃旁路手术（</w:t>
            </w:r>
            <w:r>
              <w:rPr>
                <w:rFonts w:hint="eastAsia" w:ascii="宋体" w:cs="Times New Roman"/>
                <w:color w:val="000000"/>
              </w:rPr>
              <w:t>R</w:t>
            </w:r>
            <w:r>
              <w:rPr>
                <w:rFonts w:ascii="宋体" w:cs="Times New Roman"/>
                <w:color w:val="000000"/>
              </w:rPr>
              <w:t>YGB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）</w:t>
            </w:r>
            <w:r>
              <w:rPr>
                <w:rFonts w:hint="eastAsia" w:ascii="宋体" w:cs="Times New Roman"/>
                <w:color w:val="000000"/>
              </w:rPr>
              <w:t>中保留较小的胃囊，可有效持久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的</w:t>
            </w:r>
            <w:r>
              <w:rPr>
                <w:rFonts w:hint="eastAsia" w:ascii="宋体" w:cs="Times New Roman"/>
                <w:color w:val="000000"/>
              </w:rPr>
              <w:t>控制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低体质指数</w:t>
            </w:r>
            <w:r>
              <w:rPr>
                <w:rFonts w:hint="eastAsia" w:ascii="宋体" w:cs="Times New Roman"/>
                <w:color w:val="000000"/>
              </w:rPr>
              <w:t>中国T</w:t>
            </w:r>
            <w:r>
              <w:rPr>
                <w:rFonts w:ascii="宋体" w:cs="Times New Roman"/>
                <w:color w:val="000000"/>
              </w:rPr>
              <w:t>2DM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患者</w:t>
            </w:r>
            <w:r>
              <w:rPr>
                <w:rFonts w:hint="eastAsia" w:ascii="宋体" w:cs="Times New Roman"/>
                <w:color w:val="000000"/>
              </w:rPr>
              <w:t>的血糖。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此外</w:t>
            </w:r>
            <w:r>
              <w:rPr>
                <w:rFonts w:hint="eastAsia" w:ascii="宋体" w:cs="Times New Roman"/>
                <w:color w:val="000000"/>
              </w:rPr>
              <w:t>，我们首次证实了对于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低体质指数的</w:t>
            </w:r>
            <w:r>
              <w:rPr>
                <w:rFonts w:hint="eastAsia" w:ascii="宋体" w:cs="Times New Roman"/>
                <w:color w:val="000000"/>
              </w:rPr>
              <w:t>中国肥胖患者,袖状胃切除术(</w:t>
            </w:r>
            <w:r>
              <w:rPr>
                <w:rFonts w:ascii="宋体" w:cs="Times New Roman"/>
                <w:color w:val="000000"/>
              </w:rPr>
              <w:t>SG)</w:t>
            </w:r>
            <w:r>
              <w:rPr>
                <w:rFonts w:hint="eastAsia" w:ascii="宋体" w:cs="Times New Roman"/>
                <w:color w:val="000000"/>
              </w:rPr>
              <w:t>能实现与R</w:t>
            </w:r>
            <w:r>
              <w:rPr>
                <w:rFonts w:ascii="宋体" w:cs="Times New Roman"/>
                <w:color w:val="000000"/>
              </w:rPr>
              <w:t>YGB</w:t>
            </w:r>
            <w:r>
              <w:rPr>
                <w:rFonts w:hint="eastAsia" w:ascii="宋体" w:cs="Times New Roman"/>
                <w:color w:val="000000"/>
              </w:rPr>
              <w:t>相同的体重和血糖控制效果</w:t>
            </w:r>
            <w:r>
              <w:rPr>
                <w:rFonts w:hint="eastAsia" w:ascii="宋体" w:cs="Times New Roman"/>
              </w:rPr>
              <w:t>。我们</w:t>
            </w:r>
            <w:r>
              <w:rPr>
                <w:rFonts w:hint="eastAsia" w:ascii="宋体" w:cs="Times New Roman"/>
                <w:lang w:eastAsia="zh-Hans"/>
              </w:rPr>
              <w:t>还</w:t>
            </w:r>
            <w:r>
              <w:rPr>
                <w:rFonts w:hint="eastAsia" w:ascii="宋体" w:cs="Times New Roman"/>
              </w:rPr>
              <w:t>首次分享了代谢手术治疗中国超级肥胖患者的经验，这为中国超级肥胖患者开展代谢手术具有深远意义。针对疫情，报道被隔离居民体重变化情况，给出合理解决方案，为隔离期间的居民体重管理提供参考。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以上</w:t>
            </w:r>
            <w:r>
              <w:rPr>
                <w:rFonts w:hint="eastAsia" w:ascii="宋体" w:cs="Times New Roman"/>
                <w:color w:val="000000"/>
              </w:rPr>
              <w:t>体系的建立</w:t>
            </w:r>
            <w:r>
              <w:rPr>
                <w:rFonts w:ascii="宋体" w:cs="Times New Roman"/>
                <w:color w:val="000000"/>
              </w:rPr>
              <w:t>，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不仅</w:t>
            </w:r>
            <w:r>
              <w:rPr>
                <w:rFonts w:hint="eastAsia" w:ascii="宋体" w:cs="Times New Roman"/>
                <w:color w:val="000000"/>
              </w:rPr>
              <w:t>促进了代谢手术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在中国的应用</w:t>
            </w:r>
            <w:r>
              <w:rPr>
                <w:rFonts w:hint="eastAsia" w:ascii="宋体" w:cs="Times New Roman"/>
                <w:color w:val="000000"/>
              </w:rPr>
              <w:t>，还为</w:t>
            </w:r>
            <w:r>
              <w:rPr>
                <w:rFonts w:hint="eastAsia" w:ascii="宋体" w:cs="Times New Roman"/>
              </w:rPr>
              <w:t>治疗</w:t>
            </w:r>
            <w:r>
              <w:rPr>
                <w:rFonts w:hint="eastAsia" w:ascii="宋体" w:cs="Times New Roman"/>
                <w:color w:val="000000"/>
              </w:rPr>
              <w:t>中国人群肥胖及代谢性疾病提供了更</w:t>
            </w:r>
            <w:r>
              <w:rPr>
                <w:rFonts w:hint="eastAsia" w:ascii="宋体" w:cs="Times New Roman"/>
              </w:rPr>
              <w:t>有效</w:t>
            </w:r>
            <w:r>
              <w:rPr>
                <w:rFonts w:hint="eastAsia" w:ascii="宋体" w:cs="Times New Roman"/>
                <w:color w:val="000000"/>
              </w:rPr>
              <w:t>和安全的方案。（3）将临床与基础结合，深入研究代谢手术治疗肥胖及其相关疾病的机制</w:t>
            </w:r>
            <w:r>
              <w:rPr>
                <w:rFonts w:ascii="宋体" w:cs="Times New Roman"/>
                <w:color w:val="000000"/>
              </w:rPr>
              <w:t>。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我们</w:t>
            </w:r>
            <w:r>
              <w:rPr>
                <w:rFonts w:hint="eastAsia" w:ascii="宋体" w:cs="Times New Roman"/>
                <w:color w:val="000000"/>
              </w:rPr>
              <w:t>既首次报道了S</w:t>
            </w:r>
            <w:r>
              <w:rPr>
                <w:rFonts w:ascii="宋体" w:cs="Times New Roman"/>
                <w:color w:val="000000"/>
              </w:rPr>
              <w:t>G</w:t>
            </w:r>
            <w:r>
              <w:rPr>
                <w:rFonts w:hint="eastAsia" w:ascii="宋体" w:cs="Times New Roman"/>
                <w:color w:val="000000"/>
              </w:rPr>
              <w:t>可通过调控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肠道</w:t>
            </w:r>
            <w:r>
              <w:rPr>
                <w:rFonts w:hint="eastAsia" w:ascii="宋体" w:cs="Times New Roman"/>
                <w:color w:val="000000"/>
              </w:rPr>
              <w:t>SGLT1的表达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而</w:t>
            </w:r>
            <w:r>
              <w:rPr>
                <w:rFonts w:hint="eastAsia" w:ascii="宋体" w:cs="Times New Roman"/>
                <w:color w:val="000000"/>
              </w:rPr>
              <w:t>减少葡萄糖吸收，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又间接</w:t>
            </w:r>
            <w:r>
              <w:rPr>
                <w:rFonts w:hint="eastAsia" w:ascii="宋体" w:cs="Times New Roman"/>
                <w:color w:val="000000"/>
              </w:rPr>
              <w:t>证实了残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胃体积变化是</w:t>
            </w:r>
            <w:r>
              <w:rPr>
                <w:rFonts w:hint="eastAsia" w:ascii="宋体" w:cs="Times New Roman"/>
                <w:color w:val="000000"/>
              </w:rPr>
              <w:t>S</w:t>
            </w:r>
            <w:r>
              <w:rPr>
                <w:rFonts w:ascii="宋体" w:cs="Times New Roman"/>
                <w:color w:val="000000"/>
              </w:rPr>
              <w:t>G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术后疗效保证的关键</w:t>
            </w:r>
            <w:r>
              <w:rPr>
                <w:rFonts w:hint="eastAsia" w:ascii="宋体" w:cs="Times New Roman"/>
                <w:color w:val="000000"/>
              </w:rPr>
              <w:t>。我们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也</w:t>
            </w:r>
            <w:r>
              <w:rPr>
                <w:rFonts w:hint="eastAsia" w:ascii="宋体" w:cs="Times New Roman"/>
                <w:color w:val="000000"/>
              </w:rPr>
              <w:t>对比了S</w:t>
            </w:r>
            <w:r>
              <w:rPr>
                <w:rFonts w:ascii="宋体" w:cs="Times New Roman"/>
                <w:color w:val="000000"/>
              </w:rPr>
              <w:t>G</w:t>
            </w:r>
            <w:r>
              <w:rPr>
                <w:rFonts w:hint="eastAsia" w:ascii="宋体" w:cs="Times New Roman"/>
                <w:color w:val="000000"/>
              </w:rPr>
              <w:t>和R</w:t>
            </w:r>
            <w:r>
              <w:rPr>
                <w:rFonts w:ascii="宋体" w:cs="Times New Roman"/>
                <w:color w:val="000000"/>
              </w:rPr>
              <w:t>YGB</w:t>
            </w:r>
            <w:r>
              <w:rPr>
                <w:rFonts w:hint="eastAsia" w:ascii="宋体" w:cs="Times New Roman"/>
                <w:color w:val="000000"/>
              </w:rPr>
              <w:t>前后肥胖患者肠道菌群，首次发现S</w:t>
            </w:r>
            <w:r>
              <w:rPr>
                <w:rFonts w:ascii="宋体" w:cs="Times New Roman"/>
                <w:color w:val="000000"/>
              </w:rPr>
              <w:t>G</w:t>
            </w:r>
            <w:r>
              <w:rPr>
                <w:rFonts w:hint="eastAsia" w:ascii="宋体" w:cs="Times New Roman"/>
                <w:color w:val="000000"/>
              </w:rPr>
              <w:t>导致更明显的肠道菌群丰度改变，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因</w:t>
            </w:r>
            <w:r>
              <w:rPr>
                <w:rFonts w:hint="eastAsia" w:ascii="宋体" w:cs="Times New Roman"/>
                <w:color w:val="000000"/>
              </w:rPr>
              <w:t>此我们提出代谢手术后肠道菌群通过活化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固有层免疫细胞</w:t>
            </w:r>
            <w:r>
              <w:rPr>
                <w:rFonts w:hint="eastAsia" w:ascii="宋体" w:cs="Times New Roman"/>
                <w:color w:val="000000"/>
              </w:rPr>
              <w:t>，进而改善T</w:t>
            </w:r>
            <w:r>
              <w:rPr>
                <w:rFonts w:ascii="宋体" w:cs="Times New Roman"/>
                <w:color w:val="000000"/>
              </w:rPr>
              <w:t>2DM</w:t>
            </w:r>
            <w:r>
              <w:rPr>
                <w:rFonts w:hint="eastAsia" w:ascii="宋体" w:cs="Times New Roman"/>
                <w:color w:val="000000"/>
              </w:rPr>
              <w:t>的科学假设，这一设想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也</w:t>
            </w:r>
            <w:r>
              <w:rPr>
                <w:rFonts w:hint="eastAsia" w:ascii="宋体" w:cs="Times New Roman"/>
                <w:color w:val="000000"/>
              </w:rPr>
              <w:t>获得了国家自然科学基金的资</w:t>
            </w:r>
            <w:r>
              <w:rPr>
                <w:rFonts w:hint="eastAsia" w:ascii="宋体" w:cs="Times New Roman"/>
              </w:rPr>
              <w:t>助。</w:t>
            </w:r>
            <w:r>
              <w:rPr>
                <w:rFonts w:hint="eastAsia" w:ascii="宋体" w:cs="Times New Roman"/>
                <w:lang w:eastAsia="zh-Hans"/>
              </w:rPr>
              <w:t>此外，我们在国内外还首次报道了蜂蜜、S-烯丙基巯基半胱氨酸、枸杞多糖等中药及其提取物能治疗肥胖相关性肝疾病，并探讨其发挥效应的机制，推动了肥胖相关代谢性疾病治疗的非手术化发展。</w:t>
            </w:r>
          </w:p>
          <w:p>
            <w:pPr>
              <w:spacing w:line="390" w:lineRule="exact"/>
              <w:ind w:firstLine="420" w:firstLineChars="20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本项目在</w:t>
            </w:r>
            <w:bookmarkStart w:id="0" w:name="OLE_LINK1"/>
            <w:r>
              <w:rPr>
                <w:rFonts w:hint="eastAsia" w:ascii="宋体" w:cs="Times New Roman"/>
                <w:color w:val="000000"/>
              </w:rPr>
              <w:t>国家自然科学基金优秀青年基金</w:t>
            </w:r>
            <w:bookmarkEnd w:id="0"/>
            <w:r>
              <w:rPr>
                <w:rFonts w:hint="eastAsia" w:ascii="宋体" w:cs="Times New Roman"/>
                <w:color w:val="000000"/>
              </w:rPr>
              <w:t>、面上项目、青年基金等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项目</w:t>
            </w:r>
            <w:r>
              <w:rPr>
                <w:rFonts w:hint="eastAsia" w:ascii="宋体" w:cs="Times New Roman"/>
                <w:color w:val="000000"/>
              </w:rPr>
              <w:t>的支持下完成。研究发表SCI论文</w:t>
            </w:r>
            <w:r>
              <w:rPr>
                <w:rFonts w:ascii="宋体" w:cs="Times New Roman"/>
                <w:color w:val="000000"/>
              </w:rPr>
              <w:t>33</w:t>
            </w:r>
            <w:r>
              <w:rPr>
                <w:rFonts w:hint="eastAsia" w:ascii="宋体" w:cs="Times New Roman"/>
                <w:color w:val="000000"/>
              </w:rPr>
              <w:t>篇，总引用达7</w:t>
            </w:r>
            <w:r>
              <w:rPr>
                <w:rFonts w:ascii="宋体" w:cs="Times New Roman"/>
                <w:color w:val="000000"/>
              </w:rPr>
              <w:t>16</w:t>
            </w:r>
            <w:r>
              <w:rPr>
                <w:rFonts w:hint="eastAsia" w:ascii="宋体" w:cs="Times New Roman"/>
              </w:rPr>
              <w:t>次</w:t>
            </w:r>
            <w:r>
              <w:rPr>
                <w:rFonts w:hint="eastAsia" w:ascii="宋体" w:cs="Times New Roman"/>
                <w:color w:val="000000"/>
              </w:rPr>
              <w:t>，授权专利</w:t>
            </w:r>
            <w:r>
              <w:rPr>
                <w:rFonts w:ascii="宋体" w:cs="Times New Roman"/>
                <w:color w:val="000000"/>
              </w:rPr>
              <w:t>17</w:t>
            </w:r>
            <w:r>
              <w:rPr>
                <w:rFonts w:hint="eastAsia" w:ascii="宋体" w:cs="Times New Roman"/>
                <w:color w:val="000000"/>
              </w:rPr>
              <w:t>项。本项目开展期间，培养博士2名、硕士</w:t>
            </w:r>
            <w:r>
              <w:rPr>
                <w:rFonts w:ascii="宋体" w:cs="Times New Roman"/>
                <w:color w:val="000000"/>
              </w:rPr>
              <w:t>10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余</w:t>
            </w:r>
            <w:r>
              <w:rPr>
                <w:rFonts w:hint="eastAsia" w:ascii="宋体" w:cs="Times New Roman"/>
                <w:color w:val="000000"/>
              </w:rPr>
              <w:t>名，青年医师近10名，开展国家级继续教育</w:t>
            </w:r>
            <w:r>
              <w:rPr>
                <w:rFonts w:ascii="宋体" w:cs="Times New Roman"/>
                <w:color w:val="000000"/>
              </w:rPr>
              <w:t>3</w:t>
            </w:r>
            <w:r>
              <w:rPr>
                <w:rFonts w:hint="eastAsia" w:ascii="宋体" w:cs="Times New Roman"/>
                <w:color w:val="000000"/>
              </w:rPr>
              <w:t>次，培训200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余人次</w:t>
            </w:r>
            <w:r>
              <w:rPr>
                <w:rFonts w:hint="eastAsia" w:ascii="宋体" w:cs="Times New Roman"/>
                <w:color w:val="000000"/>
              </w:rPr>
              <w:t>。</w:t>
            </w:r>
          </w:p>
          <w:p>
            <w:pPr>
              <w:spacing w:line="390" w:lineRule="exact"/>
              <w:ind w:firstLine="420" w:firstLineChars="20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Hans"/>
              </w:rPr>
              <w:t>项目</w:t>
            </w:r>
            <w:r>
              <w:rPr>
                <w:rFonts w:hint="eastAsia" w:ascii="宋体" w:cs="Times New Roman"/>
                <w:color w:val="000000"/>
              </w:rPr>
              <w:t>成果已在川北医学院附属医院、暨南大学附属医院、华中科技大学附属协和附院、</w:t>
            </w:r>
            <w:r>
              <w:rPr>
                <w:rFonts w:hint="eastAsia" w:ascii="宋体" w:cs="Times New Roman"/>
                <w:szCs w:val="20"/>
              </w:rPr>
              <w:t>甘肃省人民医院</w:t>
            </w:r>
            <w:r>
              <w:rPr>
                <w:rFonts w:hint="eastAsia" w:ascii="宋体" w:cs="Times New Roman"/>
                <w:color w:val="000000"/>
              </w:rPr>
              <w:t>等十余家省内外医院应用，</w:t>
            </w:r>
            <w:r>
              <w:rPr>
                <w:rFonts w:hint="eastAsia" w:ascii="宋体" w:cs="Times New Roman"/>
                <w:color w:val="000000"/>
                <w:lang w:eastAsia="zh-Hans"/>
              </w:rPr>
              <w:t>取得了</w:t>
            </w:r>
            <w:r>
              <w:rPr>
                <w:rFonts w:hint="eastAsia" w:ascii="宋体" w:cs="Times New Roman"/>
                <w:color w:val="000000"/>
              </w:rPr>
              <w:t>良好的社会、经济效益，具有广阔的应用前景。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第一完成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cs="宋体"/>
                <w:szCs w:val="21"/>
              </w:rPr>
              <w:t>单位意见</w:t>
            </w:r>
          </w:p>
        </w:tc>
        <w:tc>
          <w:tcPr>
            <w:tcW w:w="7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60" w:lineRule="auto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省科学技术奖候选者不存在以下任何情形：根据相关法律、法规规定，处于被立案审查调查期间的；被判处刑罚或者受到行政处罚、党纪处分、政务处分，并依法被限制表彰奖励的；记入科研诚信严重失信行为数据库，处于惩戒期内的。</w:t>
            </w:r>
          </w:p>
          <w:p>
            <w:pPr>
              <w:spacing w:line="360" w:lineRule="auto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科学技术项目成果不存在以下任何情形：在知识产权以及项目成果完成单位、完成人等方面有争议尚未解决的；依法应当取得相关行政许可而为取得的；项目成果已在其他省部级以上科学技术奖励中使用过的。</w:t>
            </w: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单位法人签名：                    单位盖章</w:t>
            </w:r>
          </w:p>
          <w:p>
            <w:pPr>
              <w:ind w:firstLine="63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  年   月   日</w:t>
            </w:r>
          </w:p>
        </w:tc>
      </w:tr>
    </w:tbl>
    <w:p>
      <w:pPr>
        <w:spacing w:line="390" w:lineRule="exact"/>
        <w:jc w:val="center"/>
        <w:outlineLvl w:val="1"/>
        <w:rPr>
          <w:rFonts w:ascii="黑体" w:eastAsia="黑体" w:cs="黑体"/>
          <w:bCs/>
          <w:color w:val="000000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28"/>
        </w:rPr>
      </w:pPr>
    </w:p>
    <w:p>
      <w:pPr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28"/>
        </w:rPr>
      </w:pPr>
    </w:p>
    <w:p>
      <w:pPr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28"/>
        </w:rPr>
      </w:pPr>
    </w:p>
    <w:p>
      <w:pPr>
        <w:spacing w:line="360" w:lineRule="auto"/>
        <w:jc w:val="center"/>
        <w:rPr>
          <w:rFonts w:ascii="宋体" w:cs="Times New Roman"/>
          <w:b/>
          <w:color w:val="000000"/>
          <w:kern w:val="0"/>
          <w:sz w:val="28"/>
        </w:rPr>
      </w:pPr>
      <w:r>
        <w:rPr>
          <w:rFonts w:hint="eastAsia" w:ascii="宋体" w:cs="Times New Roman"/>
          <w:b/>
          <w:bCs/>
          <w:color w:val="000000"/>
          <w:kern w:val="0"/>
          <w:sz w:val="28"/>
        </w:rPr>
        <w:t>二</w:t>
      </w:r>
      <w:r>
        <w:rPr>
          <w:rFonts w:ascii="宋体" w:cs="Times New Roman"/>
          <w:b/>
          <w:bCs/>
          <w:color w:val="000000"/>
          <w:kern w:val="0"/>
          <w:sz w:val="28"/>
        </w:rPr>
        <w:t>、</w:t>
      </w:r>
      <w:r>
        <w:rPr>
          <w:rFonts w:ascii="宋体" w:cs="Times New Roman"/>
          <w:b/>
          <w:color w:val="000000"/>
          <w:kern w:val="0"/>
          <w:sz w:val="28"/>
        </w:rPr>
        <w:t>提名</w:t>
      </w:r>
      <w:r>
        <w:rPr>
          <w:rFonts w:hint="eastAsia" w:ascii="宋体" w:cs="Times New Roman"/>
          <w:b/>
          <w:color w:val="000000"/>
          <w:kern w:val="0"/>
          <w:sz w:val="28"/>
        </w:rPr>
        <w:t>单位</w:t>
      </w:r>
      <w:r>
        <w:rPr>
          <w:rFonts w:ascii="宋体" w:cs="Times New Roman"/>
          <w:b/>
          <w:color w:val="000000"/>
          <w:kern w:val="0"/>
          <w:sz w:val="28"/>
        </w:rPr>
        <w:t>意见</w:t>
      </w:r>
    </w:p>
    <w:tbl>
      <w:tblPr>
        <w:tblStyle w:val="10"/>
        <w:tblW w:w="89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481"/>
        <w:gridCol w:w="1091"/>
        <w:gridCol w:w="2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提名单位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南充市人民政府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通讯地址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四川省南充市顺庆区万年西路2号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邮政编码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637000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联 系 人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马文龙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联系电话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13518290052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电子邮箱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406299741@qq.com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传    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0817-2236280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1" w:hRule="atLeast"/>
          <w:jc w:val="center"/>
        </w:trPr>
        <w:tc>
          <w:tcPr>
            <w:tcW w:w="89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="宋体" w:cs="Times New Roman"/>
                <w:color w:val="000000"/>
                <w:szCs w:val="20"/>
              </w:rPr>
            </w:pPr>
            <w:r>
              <w:rPr>
                <w:rFonts w:hint="eastAsia" w:ascii="宋体" w:cs="Times New Roman"/>
                <w:color w:val="000000"/>
                <w:szCs w:val="20"/>
              </w:rPr>
              <w:t>提名意见：</w:t>
            </w:r>
          </w:p>
          <w:p>
            <w:pPr>
              <w:ind w:firstLine="420" w:firstLineChars="200"/>
              <w:rPr>
                <w:rFonts w:ascii="宋体" w:cs="Times New Roman"/>
                <w:color w:val="000000"/>
                <w:szCs w:val="20"/>
              </w:rPr>
            </w:pPr>
            <w:r>
              <w:rPr>
                <w:rFonts w:hint="eastAsia" w:ascii="宋体" w:cs="Times New Roman"/>
                <w:color w:val="000000"/>
                <w:szCs w:val="20"/>
              </w:rPr>
              <w:t>肥胖及其引发的代谢性疾病已成为全球面对的新挑战。本项目推动了代谢手术在中国应用体系的建立，并深入研究肥胖及其代谢性疾病治疗的基础和临床。取得以下成果：（</w:t>
            </w:r>
            <w:r>
              <w:rPr>
                <w:rFonts w:ascii="宋体" w:cs="Times New Roman"/>
                <w:color w:val="000000"/>
                <w:szCs w:val="20"/>
              </w:rPr>
              <w:t>1</w:t>
            </w:r>
            <w:r>
              <w:rPr>
                <w:rFonts w:hint="eastAsia" w:ascii="宋体" w:cs="Times New Roman"/>
                <w:color w:val="000000"/>
                <w:szCs w:val="20"/>
              </w:rPr>
              <w:t>）持续拓展代谢手术的临床应用范围，为肥胖相关疾病的治疗提供了新策略。针对反复发作的高脂血症胰腺炎、限制性通气功能障碍、非酒精性肝损伤的肥胖患者，首次尝试应用代谢手术进行治疗并得到了改善，且率先发表了代谢手术改善此类疾病的</w:t>
            </w:r>
            <w:r>
              <w:rPr>
                <w:rFonts w:hint="eastAsia" w:ascii="宋体" w:cs="Times New Roman"/>
                <w:szCs w:val="20"/>
              </w:rPr>
              <w:t>成果</w:t>
            </w:r>
            <w:r>
              <w:rPr>
                <w:rFonts w:hint="eastAsia" w:ascii="宋体" w:cs="Times New Roman"/>
                <w:color w:val="000000"/>
                <w:szCs w:val="20"/>
              </w:rPr>
              <w:t>。（</w:t>
            </w:r>
            <w:r>
              <w:rPr>
                <w:rFonts w:ascii="宋体" w:cs="Times New Roman"/>
                <w:color w:val="000000"/>
                <w:szCs w:val="20"/>
              </w:rPr>
              <w:t>2</w:t>
            </w:r>
            <w:r>
              <w:rPr>
                <w:rFonts w:hint="eastAsia" w:ascii="宋体" w:cs="Times New Roman"/>
                <w:color w:val="000000"/>
                <w:szCs w:val="20"/>
              </w:rPr>
              <w:t>）持续推动代谢手术在中国本土应用过程中精准化体系建立。创立了术中精确测量胃囊体积的方法。分析了不同体质指数的肥胖人群应用代谢手术的效果。新冠疫情期间，为隔离的居民体重管理提出解决方案。（3）将临床与基础相结合，深入研究代谢手术治疗肥胖及其相关疾病的机制。首次将肠道葡萄糖感受器SGLT3以及ILC3与肠道菌群等引入代谢外科领域，为代谢外科研究领域提供了新思路。还率先研究了蜂蜜、枸杞等中药及提取物能改善肥胖相关性肝疾病的损伤及机制，推动了肥胖相关代谢性疾病治疗的非手术化发展。相关研究已在川北医学院附属医院、暨南大学第一附属医院、华科附属协和医院、</w:t>
            </w:r>
            <w:r>
              <w:rPr>
                <w:rFonts w:hint="eastAsia" w:ascii="宋体" w:cs="Times New Roman"/>
                <w:szCs w:val="20"/>
              </w:rPr>
              <w:t>甘肃省人民医院</w:t>
            </w:r>
            <w:r>
              <w:rPr>
                <w:rFonts w:hint="eastAsia" w:ascii="宋体" w:cs="Times New Roman"/>
                <w:color w:val="000000"/>
                <w:szCs w:val="20"/>
              </w:rPr>
              <w:t>等十余家省内外一流医院推广，获得良好的社会与经济效益。该项目研究方法先进、技术成熟、数据详实、结论新颖、结果可靠，具有创新性和实用性，总体达到国内领先水平。</w:t>
            </w:r>
          </w:p>
          <w:p>
            <w:pPr>
              <w:ind w:firstLine="420" w:firstLineChars="200"/>
              <w:rPr>
                <w:rFonts w:ascii="宋体" w:cs="Times New Roman"/>
                <w:b/>
                <w:bCs/>
                <w:strike/>
                <w:color w:val="000000"/>
                <w:szCs w:val="20"/>
              </w:rPr>
            </w:pPr>
            <w:r>
              <w:rPr>
                <w:rFonts w:hint="eastAsia" w:ascii="宋体" w:cs="Times New Roman"/>
                <w:color w:val="000000"/>
                <w:szCs w:val="20"/>
              </w:rPr>
              <w:t>我单位经审核确保材料真实有效</w:t>
            </w:r>
            <w:r>
              <w:rPr>
                <w:rFonts w:hint="eastAsia" w:ascii="宋体" w:cs="Times New Roman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cs="Times New Roman"/>
                <w:bCs/>
                <w:color w:val="000000"/>
                <w:spacing w:val="2"/>
                <w:szCs w:val="20"/>
              </w:rPr>
              <w:t>提名该项目为四</w:t>
            </w:r>
            <w:bookmarkStart w:id="1" w:name="_GoBack"/>
            <w:bookmarkEnd w:id="1"/>
            <w:r>
              <w:rPr>
                <w:rFonts w:hint="eastAsia" w:ascii="宋体" w:cs="Times New Roman"/>
                <w:bCs/>
                <w:color w:val="000000"/>
                <w:spacing w:val="2"/>
                <w:szCs w:val="20"/>
              </w:rPr>
              <w:t>川省科学技术进步奖。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  <w:jc w:val="center"/>
        </w:trPr>
        <w:tc>
          <w:tcPr>
            <w:tcW w:w="89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20" w:lineRule="exact"/>
              <w:ind w:firstLine="422" w:firstLineChars="200"/>
              <w:rPr>
                <w:rFonts w:ascii="仿宋_GB2312" w:hAnsi="仿宋_GB2312" w:cs="Times New Roman"/>
                <w:color w:val="000000"/>
                <w:sz w:val="24"/>
              </w:rPr>
            </w:pPr>
            <w:r>
              <w:rPr>
                <w:rFonts w:hint="eastAsia" w:ascii="宋体" w:cs="Times New Roman"/>
                <w:b/>
                <w:bCs/>
                <w:color w:val="000000"/>
              </w:rPr>
              <w:t>声</w:t>
            </w:r>
            <w:r>
              <w:rPr>
                <w:rFonts w:ascii="宋体" w:cs="Times New Roman"/>
                <w:b/>
                <w:bCs/>
                <w:color w:val="000000"/>
              </w:rPr>
              <w:t>明：</w:t>
            </w:r>
            <w:r>
              <w:rPr>
                <w:rFonts w:hint="eastAsia" w:ascii="宋体" w:cs="Times New Roman"/>
                <w:color w:val="000000"/>
              </w:rPr>
              <w:t>本单位遵守《四川省科学技术奖励办法》等有关规定，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将积极调查处理。</w:t>
            </w:r>
          </w:p>
          <w:p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0"/>
              </w:rPr>
              <w:t xml:space="preserve">     单位负责人签名：                             提名单位（盖章） 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>
            <w:pPr>
              <w:spacing w:line="360" w:lineRule="auto"/>
              <w:rPr>
                <w:rFonts w:ascii="宋体" w:cs="Times New Roman"/>
                <w:color w:val="000000"/>
                <w:szCs w:val="20"/>
              </w:rPr>
            </w:pPr>
            <w:r>
              <w:rPr>
                <w:rFonts w:hint="eastAsia" w:ascii="宋体" w:cs="Times New Roman"/>
                <w:color w:val="000000"/>
                <w:szCs w:val="20"/>
              </w:rPr>
              <w:t xml:space="preserve">             年   月   日                                   年    月    日</w:t>
            </w:r>
          </w:p>
        </w:tc>
      </w:tr>
    </w:tbl>
    <w:p>
      <w:pPr>
        <w:spacing w:line="390" w:lineRule="exact"/>
        <w:jc w:val="center"/>
        <w:outlineLvl w:val="1"/>
        <w:rPr>
          <w:rFonts w:ascii="黑体" w:eastAsia="黑体" w:cs="黑体"/>
          <w:bCs/>
          <w:color w:val="000000"/>
          <w:kern w:val="0"/>
          <w:sz w:val="28"/>
          <w:szCs w:val="28"/>
        </w:rPr>
      </w:pPr>
    </w:p>
    <w:p>
      <w:pPr>
        <w:spacing w:line="390" w:lineRule="exact"/>
        <w:jc w:val="center"/>
        <w:outlineLvl w:val="1"/>
        <w:rPr>
          <w:rFonts w:ascii="宋体" w:cs="宋体"/>
          <w:szCs w:val="21"/>
        </w:rPr>
      </w:pPr>
      <w:r>
        <w:rPr>
          <w:rFonts w:hint="eastAsia" w:ascii="宋体" w:cs="Times New Roman"/>
          <w:b/>
          <w:color w:val="000000"/>
          <w:sz w:val="28"/>
          <w:szCs w:val="20"/>
        </w:rPr>
        <w:t>三、主要知识产权和标准规范等目录</w:t>
      </w:r>
      <w:r>
        <w:rPr>
          <w:rFonts w:hint="eastAsia" w:ascii="宋体" w:cs="宋体"/>
          <w:szCs w:val="21"/>
        </w:rPr>
        <w:t>（不超过10件）</w:t>
      </w:r>
    </w:p>
    <w:tbl>
      <w:tblPr>
        <w:tblStyle w:val="10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知识产权（标准）类别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知识产权（标准）具体名称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国家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（地区）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授权号（标准编号）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授权（标准发布）日期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证书编号</w:t>
            </w:r>
            <w:r>
              <w:rPr>
                <w:rFonts w:hint="eastAsia" w:ascii="宋体" w:cs="宋体"/>
                <w:szCs w:val="21"/>
              </w:rPr>
              <w:br w:type="textWrapping"/>
            </w:r>
            <w:r>
              <w:rPr>
                <w:rFonts w:hint="eastAsia" w:ascii="宋体" w:cs="宋体"/>
                <w:szCs w:val="21"/>
              </w:rPr>
              <w:t>（标准批准发布部门）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权利人（标准起草单位）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发明人（标准起草人）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可调节式胃旁路手术胃囊体积量化器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ZL201621437731.3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2018.01.30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任亦星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任亦星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小鼠或大鼠袖状胃手术闭合器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ZL201621060491.X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2017.09.01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任亦星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任亦星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实用新型专利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一种腹腔镜减重手术用拉钩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ZL201721846000.9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2019.06.18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暨南大学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杨景哥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枸杞红素的用途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CN106580946B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2019.04.26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暨南大学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单细胞凝胶电泳装置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CN1737564B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2006.02.22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暨南大学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枸杞红素抗酒精性肝损伤的新机制及其保肝产品的应用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CN108066334A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2020.02.07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暨南大学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枸杞多糖在制备降低血氨的药物及治疗肝性脑病的药物中的应用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CN105596359B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2018.05.08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暨南大学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一种靶向抗肝癌纳米粒子及其制备方法和应用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CN103976956B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2016.08.24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暨南大学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枸杞红素的用途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CN105969725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2019.04.26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暨南大学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实验动物多功能固定支架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ZL</w:t>
            </w:r>
            <w:r>
              <w:t>201720505029.4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018.08.03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中国人民共和国国家知识产权局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任亦星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任亦星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有效</w:t>
            </w:r>
          </w:p>
        </w:tc>
      </w:tr>
    </w:tbl>
    <w:p>
      <w:pPr>
        <w:spacing w:line="390" w:lineRule="exact"/>
        <w:jc w:val="center"/>
        <w:outlineLvl w:val="1"/>
        <w:rPr>
          <w:rFonts w:ascii="宋体" w:cs="Times New Roman"/>
          <w:b/>
          <w:color w:val="000000"/>
          <w:sz w:val="28"/>
          <w:szCs w:val="20"/>
        </w:rPr>
      </w:pPr>
    </w:p>
    <w:p>
      <w:pPr>
        <w:spacing w:line="390" w:lineRule="exact"/>
        <w:jc w:val="center"/>
        <w:outlineLvl w:val="1"/>
        <w:rPr>
          <w:rFonts w:ascii="宋体" w:cs="Times New Roman"/>
          <w:b/>
          <w:color w:val="000000"/>
          <w:sz w:val="28"/>
          <w:szCs w:val="20"/>
        </w:rPr>
      </w:pPr>
      <w:r>
        <w:rPr>
          <w:rFonts w:hint="eastAsia" w:ascii="宋体" w:cs="Times New Roman"/>
          <w:b/>
          <w:color w:val="000000"/>
          <w:sz w:val="28"/>
          <w:szCs w:val="20"/>
        </w:rPr>
        <w:t>四、论文专著目录</w:t>
      </w:r>
      <w:r>
        <w:rPr>
          <w:rFonts w:hint="eastAsia" w:ascii="宋体" w:cs="宋体"/>
          <w:szCs w:val="21"/>
        </w:rPr>
        <w:t>（不超过5篇/部，非必填）</w:t>
      </w:r>
    </w:p>
    <w:tbl>
      <w:tblPr>
        <w:tblStyle w:val="10"/>
        <w:tblW w:w="9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759"/>
        <w:gridCol w:w="1161"/>
        <w:gridCol w:w="850"/>
        <w:gridCol w:w="636"/>
        <w:gridCol w:w="640"/>
        <w:gridCol w:w="709"/>
        <w:gridCol w:w="567"/>
        <w:gridCol w:w="695"/>
        <w:gridCol w:w="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序号</w:t>
            </w: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论文（专著）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名称/刊名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/作者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年卷页码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（xx年xx卷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xx页）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发表时间（年月 日）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通讯作者（含共同）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第一作者（含共同）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国内作者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他引总次数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检索数据库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论文署名单位是否包含国外单位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The Effects of Laparoscopic Sleeve Gastrectomy on Obesity-Related Hypertriglyceridemia-Induced Acute Pancreatitis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2018年28(12)卷3872-3879页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2018年12月1日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任亦星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宋勇砚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邓欢，周杰，孙姬，张小明，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  <w:rPr>
                <w:rFonts w:ascii="宋体" w:cs="宋体"/>
                <w:szCs w:val="21"/>
              </w:rPr>
            </w:pPr>
            <w: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SCI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t>Effect of Roux-en-Y gastric bypass with different pouch size in Chinese T2DM patients with BMI 30-35 kg/m2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25(3)</w:t>
            </w:r>
            <w:r>
              <w:rPr>
                <w:rFonts w:hint="eastAsia"/>
              </w:rPr>
              <w:t>卷</w:t>
            </w:r>
            <w:r>
              <w:t>457-63</w:t>
            </w:r>
            <w:r>
              <w:rPr>
                <w:rFonts w:hint="eastAsia"/>
              </w:rPr>
              <w:t>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2018年3月1日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任亦星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王存川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杨凹汉，杨景哥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  <w:rPr>
                <w:rFonts w:ascii="宋体" w:cs="宋体"/>
                <w:szCs w:val="21"/>
              </w:rPr>
            </w:pPr>
            <w:r>
              <w:t>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SCI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3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腹腔镜Roux-en-Y胃旁路手术治疗超级肥胖症42例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cs="宋体"/>
                <w:szCs w:val="21"/>
              </w:rPr>
              <w:t>2012</w:t>
            </w:r>
            <w:r>
              <w:rPr>
                <w:rFonts w:hint="eastAsia" w:ascii="宋体" w:cs="宋体"/>
                <w:szCs w:val="21"/>
              </w:rPr>
              <w:t>年</w:t>
            </w:r>
            <w:r>
              <w:rPr>
                <w:rFonts w:ascii="宋体" w:cs="宋体"/>
                <w:szCs w:val="21"/>
              </w:rPr>
              <w:t xml:space="preserve"> (11)</w:t>
            </w:r>
            <w:r>
              <w:rPr>
                <w:rFonts w:hint="eastAsia" w:ascii="宋体" w:cs="宋体"/>
                <w:szCs w:val="21"/>
              </w:rPr>
              <w:t>卷</w:t>
            </w:r>
            <w:r>
              <w:rPr>
                <w:rFonts w:ascii="宋体" w:cs="宋体"/>
                <w:szCs w:val="21"/>
              </w:rPr>
              <w:t>1115-1119</w:t>
            </w:r>
            <w:r>
              <w:rPr>
                <w:rFonts w:hint="eastAsia" w:ascii="宋体" w:cs="宋体"/>
                <w:szCs w:val="21"/>
              </w:rPr>
              <w:t>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</w:t>
            </w:r>
            <w:r>
              <w:rPr>
                <w:rFonts w:ascii="宋体" w:cs="宋体"/>
                <w:szCs w:val="21"/>
              </w:rPr>
              <w:t>012</w:t>
            </w:r>
            <w:r>
              <w:rPr>
                <w:rFonts w:hint="eastAsia" w:ascii="宋体" w:cs="宋体"/>
                <w:szCs w:val="21"/>
              </w:rPr>
              <w:t>年</w:t>
            </w:r>
            <w:r>
              <w:rPr>
                <w:rFonts w:ascii="宋体" w:cs="宋体"/>
                <w:szCs w:val="21"/>
              </w:rPr>
              <w:t>11</w:t>
            </w:r>
            <w:r>
              <w:rPr>
                <w:rFonts w:hint="eastAsia" w:ascii="宋体" w:cs="宋体"/>
                <w:szCs w:val="21"/>
              </w:rPr>
              <w:t>月</w:t>
            </w:r>
            <w:r>
              <w:rPr>
                <w:rFonts w:ascii="宋体" w:cs="宋体"/>
                <w:szCs w:val="21"/>
              </w:rPr>
              <w:t>25</w:t>
            </w:r>
            <w:r>
              <w:rPr>
                <w:rFonts w:hint="eastAsia" w:ascii="宋体" w:cs="宋体"/>
                <w:szCs w:val="21"/>
              </w:rPr>
              <w:t>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任宁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杨景哥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王存川，胡友主，李进义，黄璟，潘运龙，杨华，甘君良，刘宛灵，曹国，黎志伦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</w:pPr>
            <w:r>
              <w:rPr>
                <w:rFonts w:ascii="宋体" w:cs="宋体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知网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4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Epigallocatechin gallate attenuates fibrosis, oxidative stress, and inflammation in non-alcoholic fatty liver disease rat model through TGF/SMAD, PI3 K/Akt/FoxO1, and NF-kappa B pathways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t>53(1)</w:t>
            </w:r>
            <w:r>
              <w:rPr>
                <w:rFonts w:hint="eastAsia"/>
              </w:rPr>
              <w:t>卷</w:t>
            </w:r>
            <w:r>
              <w:t>187-99</w:t>
            </w:r>
            <w:r>
              <w:rPr>
                <w:rFonts w:hint="eastAsia"/>
              </w:rPr>
              <w:t>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</w:t>
            </w:r>
            <w:r>
              <w:rPr>
                <w:rFonts w:ascii="宋体" w:cs="宋体"/>
                <w:szCs w:val="21"/>
              </w:rPr>
              <w:t>014</w:t>
            </w:r>
            <w:r>
              <w:rPr>
                <w:rFonts w:hint="eastAsia" w:ascii="宋体" w:cs="宋体"/>
                <w:szCs w:val="21"/>
              </w:rPr>
              <w:t>年2月2</w:t>
            </w:r>
            <w:r>
              <w:rPr>
                <w:rFonts w:ascii="宋体" w:cs="宋体"/>
                <w:szCs w:val="21"/>
              </w:rPr>
              <w:t>1</w:t>
            </w:r>
            <w:r>
              <w:rPr>
                <w:rFonts w:hint="eastAsia" w:ascii="宋体" w:cs="宋体"/>
                <w:szCs w:val="21"/>
              </w:rPr>
              <w:t>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高立谭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陈谭郝，轶辰龙，南佳，唐明龙，唐亦红，方明力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</w:pPr>
            <w:r>
              <w:t>123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5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Garlic-derived S-allylmercaptocysteine is a hepato-protective agent in non-alcoholic fatty liver disease in vivo animal model.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</w:pPr>
            <w:r>
              <w:t>2013</w:t>
            </w:r>
            <w:r>
              <w:rPr>
                <w:rFonts w:hint="eastAsia"/>
              </w:rPr>
              <w:t>年</w:t>
            </w:r>
            <w:r>
              <w:t>52</w:t>
            </w:r>
            <w:r>
              <w:rPr>
                <w:rFonts w:hint="eastAsia"/>
              </w:rPr>
              <w:t>（1）卷</w:t>
            </w:r>
            <w:r>
              <w:t>179-191</w:t>
            </w:r>
            <w:r>
              <w:rPr>
                <w:rFonts w:hint="eastAsia"/>
              </w:rPr>
              <w:t>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</w:t>
            </w:r>
            <w:r>
              <w:rPr>
                <w:rFonts w:ascii="宋体" w:cs="宋体"/>
                <w:szCs w:val="21"/>
              </w:rPr>
              <w:t>013</w:t>
            </w:r>
            <w:r>
              <w:rPr>
                <w:rFonts w:hint="eastAsia" w:ascii="宋体" w:cs="宋体"/>
                <w:szCs w:val="21"/>
              </w:rPr>
              <w:t>年</w:t>
            </w:r>
            <w:r>
              <w:rPr>
                <w:rFonts w:ascii="宋体" w:cs="宋体"/>
                <w:szCs w:val="21"/>
              </w:rPr>
              <w:t>1</w:t>
            </w:r>
            <w:r>
              <w:rPr>
                <w:rFonts w:hint="eastAsia" w:ascii="宋体" w:cs="宋体"/>
                <w:szCs w:val="21"/>
              </w:rPr>
              <w:t>月</w:t>
            </w:r>
            <w:r>
              <w:rPr>
                <w:rFonts w:ascii="宋体" w:cs="宋体"/>
                <w:szCs w:val="21"/>
              </w:rPr>
              <w:t>26</w:t>
            </w:r>
            <w:r>
              <w:rPr>
                <w:rFonts w:hint="eastAsia" w:ascii="宋体" w:cs="宋体"/>
                <w:szCs w:val="21"/>
              </w:rPr>
              <w:t>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高立谭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叶彭冲，轶辰龙，南佳，方明力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</w:pPr>
            <w:r>
              <w:t>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/>
              <w:jc w:val="center"/>
            </w:pPr>
            <w:r>
              <w:t>SCI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spacing w:before="468" w:beforeLines="150"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22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pacing w:after="50" w:line="320" w:lineRule="exact"/>
              <w:jc w:val="center"/>
              <w:outlineLvl w:val="1"/>
              <w:rPr>
                <w:rFonts w:ascii="宋体" w:hAnsi="宋体" w:eastAsia="等线" w:cs="Times New Roman"/>
                <w:color w:val="000000"/>
                <w:szCs w:val="28"/>
              </w:rPr>
            </w:pPr>
            <w:r>
              <w:rPr>
                <w:rFonts w:hint="eastAsia" w:ascii="宋体" w:cs="宋体"/>
                <w:color w:val="000000"/>
                <w:szCs w:val="28"/>
              </w:rPr>
              <w:t>合  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pacing w:after="50" w:line="480" w:lineRule="auto"/>
              <w:outlineLvl w:val="1"/>
              <w:rPr>
                <w:rFonts w:ascii="宋体" w:hAnsi="宋体" w:eastAsia="等线" w:cs="Times New Roman"/>
                <w:color w:val="000000"/>
                <w:szCs w:val="28"/>
              </w:rPr>
            </w:pPr>
            <w:r>
              <w:rPr>
                <w:rFonts w:ascii="宋体" w:hAnsi="宋体" w:eastAsia="等线" w:cs="Times New Roman"/>
                <w:color w:val="000000"/>
                <w:szCs w:val="28"/>
              </w:rPr>
              <w:t>224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pacing w:after="50" w:line="320" w:lineRule="exact"/>
              <w:jc w:val="center"/>
              <w:outlineLvl w:val="1"/>
              <w:rPr>
                <w:rFonts w:ascii="宋体" w:hAnsi="宋体" w:eastAsia="等线" w:cs="Times New Roman"/>
                <w:color w:val="000000"/>
                <w:szCs w:val="28"/>
              </w:rPr>
            </w:pPr>
            <w:r>
              <w:rPr>
                <w:rFonts w:eastAsia="等线"/>
                <w:color w:val="000000"/>
              </w:rPr>
              <w:t>SCI</w:t>
            </w:r>
            <w:r>
              <w:rPr>
                <w:rFonts w:hint="eastAsia" w:eastAsia="等线"/>
                <w:color w:val="000000"/>
              </w:rPr>
              <w:t>、知网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pacing w:after="50" w:line="480" w:lineRule="auto"/>
              <w:jc w:val="center"/>
              <w:outlineLvl w:val="1"/>
              <w:rPr>
                <w:rFonts w:ascii="宋体" w:hAnsi="宋体" w:eastAsia="等线" w:cs="Times New Roman"/>
                <w:color w:val="000000"/>
                <w:szCs w:val="28"/>
              </w:rPr>
            </w:pPr>
            <w:r>
              <w:rPr>
                <w:rFonts w:ascii="宋体" w:hAnsi="宋体" w:eastAsia="等线" w:cs="Times New Roman"/>
                <w:color w:val="000000"/>
                <w:szCs w:val="28"/>
              </w:rPr>
              <w:t>/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244355"/>
      <w:docPartList>
        <w:docPartGallery w:val="Quick Parts"/>
      </w:docPartList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E3"/>
    <w:rsid w:val="000130B2"/>
    <w:rsid w:val="000138DB"/>
    <w:rsid w:val="00015A79"/>
    <w:rsid w:val="000212D9"/>
    <w:rsid w:val="00027F0D"/>
    <w:rsid w:val="00036482"/>
    <w:rsid w:val="000405DC"/>
    <w:rsid w:val="000441DA"/>
    <w:rsid w:val="00053474"/>
    <w:rsid w:val="000635C6"/>
    <w:rsid w:val="00070D47"/>
    <w:rsid w:val="000723A8"/>
    <w:rsid w:val="000757FE"/>
    <w:rsid w:val="00075E89"/>
    <w:rsid w:val="00077FB5"/>
    <w:rsid w:val="0009096C"/>
    <w:rsid w:val="00093CFF"/>
    <w:rsid w:val="0009731A"/>
    <w:rsid w:val="000A3B1E"/>
    <w:rsid w:val="000A448E"/>
    <w:rsid w:val="000A55C1"/>
    <w:rsid w:val="000B2C2B"/>
    <w:rsid w:val="000C2933"/>
    <w:rsid w:val="000C349E"/>
    <w:rsid w:val="000C37FF"/>
    <w:rsid w:val="000C7A07"/>
    <w:rsid w:val="000D2721"/>
    <w:rsid w:val="000D3EE1"/>
    <w:rsid w:val="000E7074"/>
    <w:rsid w:val="000F4E8F"/>
    <w:rsid w:val="000F5AA9"/>
    <w:rsid w:val="00102B9E"/>
    <w:rsid w:val="001205AF"/>
    <w:rsid w:val="00124685"/>
    <w:rsid w:val="00134B99"/>
    <w:rsid w:val="001376FE"/>
    <w:rsid w:val="00151222"/>
    <w:rsid w:val="00152A3C"/>
    <w:rsid w:val="00152A53"/>
    <w:rsid w:val="00162E8B"/>
    <w:rsid w:val="001648FD"/>
    <w:rsid w:val="00167719"/>
    <w:rsid w:val="00175EF2"/>
    <w:rsid w:val="00186EC6"/>
    <w:rsid w:val="00192B99"/>
    <w:rsid w:val="00193BD5"/>
    <w:rsid w:val="001959AF"/>
    <w:rsid w:val="001A0362"/>
    <w:rsid w:val="001A3E20"/>
    <w:rsid w:val="001B0C6E"/>
    <w:rsid w:val="001C05AB"/>
    <w:rsid w:val="001C0F9B"/>
    <w:rsid w:val="001C41C1"/>
    <w:rsid w:val="001C7105"/>
    <w:rsid w:val="001D2816"/>
    <w:rsid w:val="001D3EE6"/>
    <w:rsid w:val="001D5673"/>
    <w:rsid w:val="001E34F9"/>
    <w:rsid w:val="001E7A53"/>
    <w:rsid w:val="001F236B"/>
    <w:rsid w:val="001F5E97"/>
    <w:rsid w:val="002113F4"/>
    <w:rsid w:val="002113FB"/>
    <w:rsid w:val="00212A3B"/>
    <w:rsid w:val="00213759"/>
    <w:rsid w:val="0021495E"/>
    <w:rsid w:val="00216D0F"/>
    <w:rsid w:val="00226436"/>
    <w:rsid w:val="002276BE"/>
    <w:rsid w:val="00233F19"/>
    <w:rsid w:val="00243E11"/>
    <w:rsid w:val="00247AA8"/>
    <w:rsid w:val="002561EC"/>
    <w:rsid w:val="00261C71"/>
    <w:rsid w:val="00261FF3"/>
    <w:rsid w:val="002637B8"/>
    <w:rsid w:val="0027547C"/>
    <w:rsid w:val="00277459"/>
    <w:rsid w:val="002776C7"/>
    <w:rsid w:val="002A133B"/>
    <w:rsid w:val="002B0680"/>
    <w:rsid w:val="002B0DA6"/>
    <w:rsid w:val="002D2089"/>
    <w:rsid w:val="002D484F"/>
    <w:rsid w:val="002D5D25"/>
    <w:rsid w:val="002E4AD5"/>
    <w:rsid w:val="002F06CF"/>
    <w:rsid w:val="002F0C3F"/>
    <w:rsid w:val="002F1632"/>
    <w:rsid w:val="003008BB"/>
    <w:rsid w:val="00301132"/>
    <w:rsid w:val="003013FC"/>
    <w:rsid w:val="003210C5"/>
    <w:rsid w:val="00321455"/>
    <w:rsid w:val="003238ED"/>
    <w:rsid w:val="0032753C"/>
    <w:rsid w:val="003304DF"/>
    <w:rsid w:val="0034356B"/>
    <w:rsid w:val="0034455F"/>
    <w:rsid w:val="00344A1C"/>
    <w:rsid w:val="00354F97"/>
    <w:rsid w:val="00374B35"/>
    <w:rsid w:val="00375ECC"/>
    <w:rsid w:val="00376A2E"/>
    <w:rsid w:val="00382EFD"/>
    <w:rsid w:val="003917F8"/>
    <w:rsid w:val="003A46CF"/>
    <w:rsid w:val="003A5DE6"/>
    <w:rsid w:val="003A76BC"/>
    <w:rsid w:val="003D08B6"/>
    <w:rsid w:val="003D6A43"/>
    <w:rsid w:val="003F15FA"/>
    <w:rsid w:val="00401B8C"/>
    <w:rsid w:val="00411865"/>
    <w:rsid w:val="00414F4D"/>
    <w:rsid w:val="004160EE"/>
    <w:rsid w:val="00424F31"/>
    <w:rsid w:val="00425A75"/>
    <w:rsid w:val="00426ACA"/>
    <w:rsid w:val="00431D58"/>
    <w:rsid w:val="00434E01"/>
    <w:rsid w:val="00436397"/>
    <w:rsid w:val="00447B8C"/>
    <w:rsid w:val="00450439"/>
    <w:rsid w:val="0047121B"/>
    <w:rsid w:val="00486A77"/>
    <w:rsid w:val="00490B9C"/>
    <w:rsid w:val="00496E5D"/>
    <w:rsid w:val="004A0553"/>
    <w:rsid w:val="004A191D"/>
    <w:rsid w:val="004A5610"/>
    <w:rsid w:val="004B2842"/>
    <w:rsid w:val="004B4228"/>
    <w:rsid w:val="004B663E"/>
    <w:rsid w:val="004B7735"/>
    <w:rsid w:val="004C615E"/>
    <w:rsid w:val="004C75FE"/>
    <w:rsid w:val="004C7C7F"/>
    <w:rsid w:val="004D77F2"/>
    <w:rsid w:val="004E5006"/>
    <w:rsid w:val="005010EF"/>
    <w:rsid w:val="00502790"/>
    <w:rsid w:val="005037E9"/>
    <w:rsid w:val="00504252"/>
    <w:rsid w:val="00506F74"/>
    <w:rsid w:val="0051153D"/>
    <w:rsid w:val="00513A94"/>
    <w:rsid w:val="00514B11"/>
    <w:rsid w:val="0052388C"/>
    <w:rsid w:val="00533FBF"/>
    <w:rsid w:val="0053646C"/>
    <w:rsid w:val="00541F68"/>
    <w:rsid w:val="00544335"/>
    <w:rsid w:val="0054643B"/>
    <w:rsid w:val="00552C6B"/>
    <w:rsid w:val="005630B1"/>
    <w:rsid w:val="0057416C"/>
    <w:rsid w:val="00582497"/>
    <w:rsid w:val="00585B95"/>
    <w:rsid w:val="005A4C8E"/>
    <w:rsid w:val="005A5E31"/>
    <w:rsid w:val="005A6527"/>
    <w:rsid w:val="005B100D"/>
    <w:rsid w:val="005B4B73"/>
    <w:rsid w:val="005C4145"/>
    <w:rsid w:val="005C466F"/>
    <w:rsid w:val="005C7CA9"/>
    <w:rsid w:val="005E51AF"/>
    <w:rsid w:val="005E7388"/>
    <w:rsid w:val="005F2445"/>
    <w:rsid w:val="00601214"/>
    <w:rsid w:val="006018A0"/>
    <w:rsid w:val="00603712"/>
    <w:rsid w:val="00611C6A"/>
    <w:rsid w:val="00612DA0"/>
    <w:rsid w:val="00624164"/>
    <w:rsid w:val="00637B9A"/>
    <w:rsid w:val="00650609"/>
    <w:rsid w:val="006552A3"/>
    <w:rsid w:val="00665132"/>
    <w:rsid w:val="00675A69"/>
    <w:rsid w:val="00686993"/>
    <w:rsid w:val="00687296"/>
    <w:rsid w:val="00694D8F"/>
    <w:rsid w:val="006958B6"/>
    <w:rsid w:val="00696449"/>
    <w:rsid w:val="006A0F46"/>
    <w:rsid w:val="006B16DA"/>
    <w:rsid w:val="006B4B50"/>
    <w:rsid w:val="006B4D49"/>
    <w:rsid w:val="006B5F9F"/>
    <w:rsid w:val="006B7DF9"/>
    <w:rsid w:val="006C59C9"/>
    <w:rsid w:val="006D28B9"/>
    <w:rsid w:val="006D332F"/>
    <w:rsid w:val="006D514D"/>
    <w:rsid w:val="006D5F09"/>
    <w:rsid w:val="006D5FF6"/>
    <w:rsid w:val="006E57EC"/>
    <w:rsid w:val="006F2C29"/>
    <w:rsid w:val="006F2E99"/>
    <w:rsid w:val="006F486C"/>
    <w:rsid w:val="007148F6"/>
    <w:rsid w:val="007152F3"/>
    <w:rsid w:val="007176C1"/>
    <w:rsid w:val="00717AAF"/>
    <w:rsid w:val="00720A36"/>
    <w:rsid w:val="007249D7"/>
    <w:rsid w:val="0072529F"/>
    <w:rsid w:val="007267E7"/>
    <w:rsid w:val="00737B95"/>
    <w:rsid w:val="00742ABC"/>
    <w:rsid w:val="0074655C"/>
    <w:rsid w:val="00754205"/>
    <w:rsid w:val="00757487"/>
    <w:rsid w:val="00764565"/>
    <w:rsid w:val="0078007E"/>
    <w:rsid w:val="00781D89"/>
    <w:rsid w:val="007844B2"/>
    <w:rsid w:val="00784CEA"/>
    <w:rsid w:val="007975BE"/>
    <w:rsid w:val="007A0510"/>
    <w:rsid w:val="007A383A"/>
    <w:rsid w:val="007B6268"/>
    <w:rsid w:val="007C1DF2"/>
    <w:rsid w:val="007C2BA4"/>
    <w:rsid w:val="007D61F5"/>
    <w:rsid w:val="007E0F38"/>
    <w:rsid w:val="007F0C26"/>
    <w:rsid w:val="007F0D0C"/>
    <w:rsid w:val="007F0FA0"/>
    <w:rsid w:val="007F340A"/>
    <w:rsid w:val="008003F9"/>
    <w:rsid w:val="008065AA"/>
    <w:rsid w:val="00806B25"/>
    <w:rsid w:val="00811BD9"/>
    <w:rsid w:val="00814A32"/>
    <w:rsid w:val="00816FA2"/>
    <w:rsid w:val="008214CF"/>
    <w:rsid w:val="00824FB6"/>
    <w:rsid w:val="00825987"/>
    <w:rsid w:val="00827B8F"/>
    <w:rsid w:val="00841B10"/>
    <w:rsid w:val="0085056A"/>
    <w:rsid w:val="008510B6"/>
    <w:rsid w:val="008517D9"/>
    <w:rsid w:val="0085692D"/>
    <w:rsid w:val="00857025"/>
    <w:rsid w:val="0086303A"/>
    <w:rsid w:val="00867E23"/>
    <w:rsid w:val="00877122"/>
    <w:rsid w:val="00885DFD"/>
    <w:rsid w:val="00887C99"/>
    <w:rsid w:val="00890596"/>
    <w:rsid w:val="00891040"/>
    <w:rsid w:val="008912F8"/>
    <w:rsid w:val="008A1C95"/>
    <w:rsid w:val="008A505A"/>
    <w:rsid w:val="008A62E1"/>
    <w:rsid w:val="008A7CE6"/>
    <w:rsid w:val="008B0929"/>
    <w:rsid w:val="008B1387"/>
    <w:rsid w:val="008B44C1"/>
    <w:rsid w:val="008B6320"/>
    <w:rsid w:val="008B7B9A"/>
    <w:rsid w:val="008D08BB"/>
    <w:rsid w:val="008D7DA4"/>
    <w:rsid w:val="008E26BA"/>
    <w:rsid w:val="008E3910"/>
    <w:rsid w:val="008E7CA6"/>
    <w:rsid w:val="00901F4F"/>
    <w:rsid w:val="00905398"/>
    <w:rsid w:val="00905A43"/>
    <w:rsid w:val="009145A3"/>
    <w:rsid w:val="00917AD8"/>
    <w:rsid w:val="009203B8"/>
    <w:rsid w:val="00920A50"/>
    <w:rsid w:val="00924FED"/>
    <w:rsid w:val="0093327F"/>
    <w:rsid w:val="0093436F"/>
    <w:rsid w:val="009459DA"/>
    <w:rsid w:val="009576A5"/>
    <w:rsid w:val="009647BD"/>
    <w:rsid w:val="00967566"/>
    <w:rsid w:val="009743C3"/>
    <w:rsid w:val="0097459D"/>
    <w:rsid w:val="009747C1"/>
    <w:rsid w:val="009747FB"/>
    <w:rsid w:val="00991E4F"/>
    <w:rsid w:val="00993E4A"/>
    <w:rsid w:val="0099428A"/>
    <w:rsid w:val="009A4B18"/>
    <w:rsid w:val="009C1AD9"/>
    <w:rsid w:val="009C4FE1"/>
    <w:rsid w:val="009D24E8"/>
    <w:rsid w:val="009F4BB0"/>
    <w:rsid w:val="009F7C08"/>
    <w:rsid w:val="00A00F47"/>
    <w:rsid w:val="00A07700"/>
    <w:rsid w:val="00A0795E"/>
    <w:rsid w:val="00A15100"/>
    <w:rsid w:val="00A21B2A"/>
    <w:rsid w:val="00A24E99"/>
    <w:rsid w:val="00A31C20"/>
    <w:rsid w:val="00A333E2"/>
    <w:rsid w:val="00A40B82"/>
    <w:rsid w:val="00A477B4"/>
    <w:rsid w:val="00A50056"/>
    <w:rsid w:val="00A50097"/>
    <w:rsid w:val="00A50A19"/>
    <w:rsid w:val="00A57A35"/>
    <w:rsid w:val="00A61D9B"/>
    <w:rsid w:val="00A6312E"/>
    <w:rsid w:val="00A635F8"/>
    <w:rsid w:val="00A64ABE"/>
    <w:rsid w:val="00A6696D"/>
    <w:rsid w:val="00A67D62"/>
    <w:rsid w:val="00A745B8"/>
    <w:rsid w:val="00A835D6"/>
    <w:rsid w:val="00AA2361"/>
    <w:rsid w:val="00AB0715"/>
    <w:rsid w:val="00AB3EF0"/>
    <w:rsid w:val="00AB5141"/>
    <w:rsid w:val="00AB734A"/>
    <w:rsid w:val="00AB7EBB"/>
    <w:rsid w:val="00AC201A"/>
    <w:rsid w:val="00AC7DB1"/>
    <w:rsid w:val="00AD04E1"/>
    <w:rsid w:val="00AD0FAD"/>
    <w:rsid w:val="00AD1114"/>
    <w:rsid w:val="00AD14A8"/>
    <w:rsid w:val="00AD5F34"/>
    <w:rsid w:val="00AE5790"/>
    <w:rsid w:val="00AF1831"/>
    <w:rsid w:val="00AF3B96"/>
    <w:rsid w:val="00AF4510"/>
    <w:rsid w:val="00AF6836"/>
    <w:rsid w:val="00AF6CDF"/>
    <w:rsid w:val="00B00FDB"/>
    <w:rsid w:val="00B05C85"/>
    <w:rsid w:val="00B122E3"/>
    <w:rsid w:val="00B126BF"/>
    <w:rsid w:val="00B227AC"/>
    <w:rsid w:val="00B22D7E"/>
    <w:rsid w:val="00B24973"/>
    <w:rsid w:val="00B27F5F"/>
    <w:rsid w:val="00B300BB"/>
    <w:rsid w:val="00B30DF3"/>
    <w:rsid w:val="00B40F68"/>
    <w:rsid w:val="00B50C21"/>
    <w:rsid w:val="00B528E4"/>
    <w:rsid w:val="00B555E7"/>
    <w:rsid w:val="00B570A4"/>
    <w:rsid w:val="00B600B0"/>
    <w:rsid w:val="00B61C48"/>
    <w:rsid w:val="00B73F5E"/>
    <w:rsid w:val="00B85134"/>
    <w:rsid w:val="00B941E9"/>
    <w:rsid w:val="00B943C5"/>
    <w:rsid w:val="00BA199E"/>
    <w:rsid w:val="00BA1AA1"/>
    <w:rsid w:val="00BA250E"/>
    <w:rsid w:val="00BA2AF2"/>
    <w:rsid w:val="00BA32AF"/>
    <w:rsid w:val="00BC26F1"/>
    <w:rsid w:val="00BD17CB"/>
    <w:rsid w:val="00BD2381"/>
    <w:rsid w:val="00BD47FD"/>
    <w:rsid w:val="00BD6322"/>
    <w:rsid w:val="00BE5170"/>
    <w:rsid w:val="00BE6205"/>
    <w:rsid w:val="00BE6434"/>
    <w:rsid w:val="00BF0349"/>
    <w:rsid w:val="00C03DBF"/>
    <w:rsid w:val="00C05DE1"/>
    <w:rsid w:val="00C072E1"/>
    <w:rsid w:val="00C2798C"/>
    <w:rsid w:val="00C318C6"/>
    <w:rsid w:val="00C3774A"/>
    <w:rsid w:val="00C4334A"/>
    <w:rsid w:val="00C44DE5"/>
    <w:rsid w:val="00C72756"/>
    <w:rsid w:val="00C7473E"/>
    <w:rsid w:val="00C749ED"/>
    <w:rsid w:val="00C74FEC"/>
    <w:rsid w:val="00C97E4A"/>
    <w:rsid w:val="00CB0CCC"/>
    <w:rsid w:val="00CB0E40"/>
    <w:rsid w:val="00CB1BFD"/>
    <w:rsid w:val="00CD3F9D"/>
    <w:rsid w:val="00CE05B5"/>
    <w:rsid w:val="00CE28AB"/>
    <w:rsid w:val="00CE4BDC"/>
    <w:rsid w:val="00CE54A9"/>
    <w:rsid w:val="00D03751"/>
    <w:rsid w:val="00D1194B"/>
    <w:rsid w:val="00D14221"/>
    <w:rsid w:val="00D20E0D"/>
    <w:rsid w:val="00D2306D"/>
    <w:rsid w:val="00D25C87"/>
    <w:rsid w:val="00D266EC"/>
    <w:rsid w:val="00D462CA"/>
    <w:rsid w:val="00D57D6A"/>
    <w:rsid w:val="00D61F7C"/>
    <w:rsid w:val="00D64B31"/>
    <w:rsid w:val="00D657C8"/>
    <w:rsid w:val="00D81CDF"/>
    <w:rsid w:val="00D8227F"/>
    <w:rsid w:val="00D86DEF"/>
    <w:rsid w:val="00DA4348"/>
    <w:rsid w:val="00DB54EB"/>
    <w:rsid w:val="00DC4D86"/>
    <w:rsid w:val="00DE5BCD"/>
    <w:rsid w:val="00DE6926"/>
    <w:rsid w:val="00DF507D"/>
    <w:rsid w:val="00DF7BB9"/>
    <w:rsid w:val="00E05FF4"/>
    <w:rsid w:val="00E066E8"/>
    <w:rsid w:val="00E06726"/>
    <w:rsid w:val="00E06BFA"/>
    <w:rsid w:val="00E07DFA"/>
    <w:rsid w:val="00E11C12"/>
    <w:rsid w:val="00E14E0A"/>
    <w:rsid w:val="00E2324C"/>
    <w:rsid w:val="00E24810"/>
    <w:rsid w:val="00E25D1C"/>
    <w:rsid w:val="00E271C2"/>
    <w:rsid w:val="00E33FA1"/>
    <w:rsid w:val="00E36A14"/>
    <w:rsid w:val="00E4368B"/>
    <w:rsid w:val="00E554DA"/>
    <w:rsid w:val="00E602E0"/>
    <w:rsid w:val="00E60450"/>
    <w:rsid w:val="00E60BD9"/>
    <w:rsid w:val="00E6709F"/>
    <w:rsid w:val="00E755F1"/>
    <w:rsid w:val="00E7767F"/>
    <w:rsid w:val="00E81418"/>
    <w:rsid w:val="00E8232E"/>
    <w:rsid w:val="00E83254"/>
    <w:rsid w:val="00E879C7"/>
    <w:rsid w:val="00EA0D85"/>
    <w:rsid w:val="00EA5CE9"/>
    <w:rsid w:val="00EB2144"/>
    <w:rsid w:val="00ED587A"/>
    <w:rsid w:val="00EE1BE2"/>
    <w:rsid w:val="00EE525E"/>
    <w:rsid w:val="00EF5524"/>
    <w:rsid w:val="00EF71FE"/>
    <w:rsid w:val="00F0233C"/>
    <w:rsid w:val="00F164C2"/>
    <w:rsid w:val="00F1746E"/>
    <w:rsid w:val="00F25165"/>
    <w:rsid w:val="00F31398"/>
    <w:rsid w:val="00F417D7"/>
    <w:rsid w:val="00F471F5"/>
    <w:rsid w:val="00F55156"/>
    <w:rsid w:val="00F560F7"/>
    <w:rsid w:val="00F57669"/>
    <w:rsid w:val="00F60D03"/>
    <w:rsid w:val="00F6394C"/>
    <w:rsid w:val="00F64627"/>
    <w:rsid w:val="00F71F49"/>
    <w:rsid w:val="00F753A3"/>
    <w:rsid w:val="00F8252F"/>
    <w:rsid w:val="00F84D67"/>
    <w:rsid w:val="00F91E40"/>
    <w:rsid w:val="00F93020"/>
    <w:rsid w:val="00F94455"/>
    <w:rsid w:val="00F95E82"/>
    <w:rsid w:val="00FA37DD"/>
    <w:rsid w:val="00FA67C2"/>
    <w:rsid w:val="00FB046F"/>
    <w:rsid w:val="00FC7C75"/>
    <w:rsid w:val="00FD44E4"/>
    <w:rsid w:val="00FD687A"/>
    <w:rsid w:val="00FE31CB"/>
    <w:rsid w:val="21A516FB"/>
    <w:rsid w:val="2AA64DCA"/>
    <w:rsid w:val="3FDB552D"/>
    <w:rsid w:val="638F4022"/>
    <w:rsid w:val="709248EE"/>
    <w:rsid w:val="D8F71098"/>
    <w:rsid w:val="DD77AC19"/>
    <w:rsid w:val="EF7F8B52"/>
    <w:rsid w:val="F93DE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cs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7"/>
    <w:qFormat/>
    <w:uiPriority w:val="0"/>
    <w:rPr>
      <w:b/>
      <w:bCs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_Style 8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宋体" w:cs="Times New Roman"/>
      <w:kern w:val="2"/>
      <w:sz w:val="24"/>
      <w:lang w:val="en-US" w:eastAsia="zh-CN" w:bidi="ar-SA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批注文字 字符"/>
    <w:basedOn w:val="11"/>
    <w:link w:val="5"/>
    <w:qFormat/>
    <w:uiPriority w:val="0"/>
    <w:rPr>
      <w:rFonts w:ascii="Calibri" w:hAnsi="Calibri" w:cs="Arial"/>
      <w:kern w:val="2"/>
      <w:sz w:val="21"/>
      <w:szCs w:val="22"/>
    </w:rPr>
  </w:style>
  <w:style w:type="character" w:customStyle="1" w:styleId="17">
    <w:name w:val="批注主题 字符"/>
    <w:basedOn w:val="16"/>
    <w:link w:val="9"/>
    <w:qFormat/>
    <w:uiPriority w:val="0"/>
    <w:rPr>
      <w:rFonts w:ascii="Calibri" w:hAnsi="Calibri" w:cs="Arial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5308-2F67-4695-A8C7-1E40103AB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7</Pages>
  <Words>3340</Words>
  <Characters>4186</Characters>
  <Lines>33</Lines>
  <Paragraphs>9</Paragraphs>
  <TotalTime>18</TotalTime>
  <ScaleCrop>false</ScaleCrop>
  <LinksUpToDate>false</LinksUpToDate>
  <CharactersWithSpaces>4416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2022-04-19T09:02:00Z</dcterms:created>
  <dc:creator>WRGHO</dc:creator>
  <cp:lastModifiedBy>易燃，易爆炸</cp:lastModifiedBy>
  <dcterms:modified xsi:type="dcterms:W3CDTF">2022-04-20T00:26:30Z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2FB35104D67712BEA96E46623F8AC14B</vt:lpwstr>
  </property>
</Properties>
</file>