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b/>
          <w:bCs/>
          <w:spacing w:val="-14"/>
          <w:w w:val="85"/>
          <w:sz w:val="44"/>
          <w:szCs w:val="44"/>
        </w:rPr>
      </w:pPr>
      <w:bookmarkStart w:id="0" w:name="_GoBack"/>
      <w:bookmarkEnd w:id="0"/>
      <w:r>
        <w:rPr>
          <w:rFonts w:hint="eastAsia" w:ascii="方正小标宋简体" w:eastAsia="方正小标宋简体"/>
          <w:b/>
          <w:bCs/>
          <w:spacing w:val="-14"/>
          <w:w w:val="85"/>
          <w:sz w:val="44"/>
          <w:szCs w:val="44"/>
        </w:rPr>
        <w:t>南充市202</w:t>
      </w:r>
      <w:r>
        <w:rPr>
          <w:rFonts w:ascii="方正小标宋简体" w:eastAsia="方正小标宋简体"/>
          <w:b/>
          <w:bCs/>
          <w:spacing w:val="-14"/>
          <w:w w:val="85"/>
          <w:sz w:val="44"/>
          <w:szCs w:val="44"/>
        </w:rPr>
        <w:t>3</w:t>
      </w:r>
      <w:r>
        <w:rPr>
          <w:rFonts w:hint="eastAsia" w:ascii="方正小标宋简体" w:eastAsia="方正小标宋简体"/>
          <w:b/>
          <w:bCs/>
          <w:spacing w:val="-14"/>
          <w:w w:val="85"/>
          <w:sz w:val="44"/>
          <w:szCs w:val="44"/>
        </w:rPr>
        <w:t>年度四川省科学技术奖提名公示情况表</w:t>
      </w:r>
    </w:p>
    <w:p>
      <w:pPr>
        <w:spacing w:line="700" w:lineRule="exact"/>
        <w:jc w:val="center"/>
        <w:rPr>
          <w:rFonts w:ascii="方正小标宋简体" w:eastAsia="方正小标宋简体"/>
          <w:b/>
          <w:bCs/>
          <w:spacing w:val="-14"/>
          <w:w w:val="85"/>
          <w:sz w:val="44"/>
          <w:szCs w:val="44"/>
        </w:rPr>
      </w:pPr>
      <w:r>
        <w:rPr>
          <w:rFonts w:hint="eastAsia" w:ascii="方正小标宋简体" w:eastAsia="方正小标宋简体"/>
          <w:b/>
          <w:bCs/>
          <w:spacing w:val="-14"/>
          <w:w w:val="85"/>
          <w:sz w:val="44"/>
          <w:szCs w:val="44"/>
        </w:rPr>
        <w:t>（科技进步奖）</w:t>
      </w:r>
    </w:p>
    <w:p>
      <w:pPr>
        <w:spacing w:line="360" w:lineRule="auto"/>
        <w:jc w:val="center"/>
        <w:outlineLvl w:val="1"/>
        <w:rPr>
          <w:rFonts w:ascii="宋体" w:cs="Times New Roman"/>
          <w:b/>
          <w:color w:val="000000"/>
          <w:kern w:val="0"/>
          <w:sz w:val="28"/>
        </w:rPr>
      </w:pPr>
    </w:p>
    <w:p>
      <w:pPr>
        <w:spacing w:line="360" w:lineRule="auto"/>
        <w:jc w:val="center"/>
        <w:outlineLvl w:val="1"/>
        <w:rPr>
          <w:rFonts w:ascii="方正小标宋简体" w:eastAsia="方正小标宋简体"/>
          <w:spacing w:val="-14"/>
          <w:w w:val="85"/>
          <w:sz w:val="44"/>
          <w:szCs w:val="44"/>
        </w:rPr>
      </w:pPr>
      <w:r>
        <w:rPr>
          <w:rFonts w:hint="eastAsia" w:ascii="宋体" w:cs="Times New Roman"/>
          <w:b/>
          <w:color w:val="000000"/>
          <w:kern w:val="0"/>
          <w:sz w:val="28"/>
        </w:rPr>
        <w:t>一、项目基本情况</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9"/>
        <w:gridCol w:w="7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项目名称</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肥胖及其代谢性疾病外科治疗的体系建立与应用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主要完成单位</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川北医学院附属医院、暨南大学附属第一医院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主要完成人</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任亦星、肖佳、杨景哥、何明、宋可、孔祥鑫、鲜印、贾爱梅，张源，谢兴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1" w:hRule="atLeast"/>
        </w:trPr>
        <w:tc>
          <w:tcPr>
            <w:tcW w:w="1609" w:type="dxa"/>
            <w:tcBorders>
              <w:top w:val="single" w:color="auto"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项目简介</w:t>
            </w:r>
          </w:p>
        </w:tc>
        <w:tc>
          <w:tcPr>
            <w:tcW w:w="7360" w:type="dxa"/>
            <w:tcBorders>
              <w:top w:val="single" w:color="auto" w:sz="4" w:space="0"/>
              <w:left w:val="single" w:color="000000" w:sz="4" w:space="0"/>
              <w:bottom w:val="single" w:color="000000" w:sz="4" w:space="0"/>
              <w:right w:val="single" w:color="000000" w:sz="4" w:space="0"/>
            </w:tcBorders>
            <w:noWrap/>
          </w:tcPr>
          <w:p>
            <w:pPr>
              <w:spacing w:line="390" w:lineRule="exact"/>
              <w:ind w:firstLine="420" w:firstLineChars="200"/>
              <w:jc w:val="left"/>
              <w:rPr>
                <w:rFonts w:ascii="宋体" w:cs="Times New Roman"/>
                <w:color w:val="000000"/>
              </w:rPr>
            </w:pPr>
            <w:r>
              <w:rPr>
                <w:rFonts w:hint="eastAsia" w:ascii="宋体" w:cs="Times New Roman"/>
                <w:color w:val="000000"/>
              </w:rPr>
              <w:t>肥胖及其相关代谢性疾病已成为发达国家和发展中国家共同面对的新挑战。目前，中国的肥胖人口数量居世界首位。肥胖引起的相关疾病包括2型糖尿病（T2DM）、高血压、多囊卵巢综合征等，严重影响公众健康。在欧美国家，代谢外科已成为外科体系的一个重要分支，而国内发展相对滞后。该项目以推动代谢外科在中国应用体系的建立为出发点，深入研究肥胖及相关代谢性疾病外科治疗的机制，推动代谢手术的创新性改革并拓展其应用范围，目前主要取得了以下成果：（1）推进代谢手术的创新性改革及精准化建立，引领肥胖及相关代谢性疾病外科治疗效果和安全性的全面提升。我们发现术中建立的胃囊体积与术后疗效密切相关，</w:t>
            </w:r>
            <w:r>
              <w:rPr>
                <w:rFonts w:ascii="宋体" w:cs="Times New Roman"/>
                <w:color w:val="000000"/>
              </w:rPr>
              <w:t>并</w:t>
            </w:r>
            <w:r>
              <w:rPr>
                <w:rFonts w:hint="eastAsia" w:ascii="宋体" w:cs="Times New Roman"/>
                <w:color w:val="000000"/>
              </w:rPr>
              <w:t>创立了相应测量方法，同时明确了</w:t>
            </w:r>
            <w:r>
              <w:rPr>
                <w:rFonts w:ascii="宋体" w:cs="Times New Roman"/>
                <w:color w:val="000000"/>
              </w:rPr>
              <w:t>Roux-en-Y</w:t>
            </w:r>
            <w:r>
              <w:rPr>
                <w:rFonts w:hint="eastAsia" w:ascii="宋体" w:cs="Times New Roman"/>
                <w:color w:val="000000"/>
              </w:rPr>
              <w:t>胃旁路手术（R</w:t>
            </w:r>
            <w:r>
              <w:rPr>
                <w:rFonts w:ascii="宋体" w:cs="Times New Roman"/>
                <w:color w:val="000000"/>
              </w:rPr>
              <w:t>YGB</w:t>
            </w:r>
            <w:r>
              <w:rPr>
                <w:rFonts w:hint="eastAsia" w:ascii="宋体" w:cs="Times New Roman"/>
                <w:color w:val="000000"/>
              </w:rPr>
              <w:t>）中保留较小体积的胃囊，可有效持久地控制中国低体质指数T</w:t>
            </w:r>
            <w:r>
              <w:rPr>
                <w:rFonts w:ascii="宋体" w:cs="Times New Roman"/>
                <w:color w:val="000000"/>
              </w:rPr>
              <w:t>2DM</w:t>
            </w:r>
            <w:r>
              <w:rPr>
                <w:rFonts w:hint="eastAsia" w:ascii="宋体" w:cs="Times New Roman"/>
                <w:color w:val="000000"/>
              </w:rPr>
              <w:t>患者的血糖。我们还发现对于这类患者,袖状胃切除术(</w:t>
            </w:r>
            <w:r>
              <w:rPr>
                <w:rFonts w:ascii="宋体" w:cs="Times New Roman"/>
                <w:color w:val="000000"/>
              </w:rPr>
              <w:t>SG)</w:t>
            </w:r>
            <w:r>
              <w:rPr>
                <w:rFonts w:hint="eastAsia" w:ascii="宋体" w:cs="Times New Roman"/>
                <w:color w:val="000000"/>
              </w:rPr>
              <w:t>能实现与R</w:t>
            </w:r>
            <w:r>
              <w:rPr>
                <w:rFonts w:ascii="宋体" w:cs="Times New Roman"/>
                <w:color w:val="000000"/>
              </w:rPr>
              <w:t>YGB</w:t>
            </w:r>
            <w:r>
              <w:rPr>
                <w:rFonts w:hint="eastAsia" w:ascii="宋体" w:cs="Times New Roman"/>
                <w:color w:val="000000"/>
              </w:rPr>
              <w:t>相同的体重和血糖控制效果，此外我们还分享了代谢手术治疗中国超级肥胖患者的经验，</w:t>
            </w:r>
            <w:r>
              <w:rPr>
                <w:rFonts w:ascii="宋体" w:cs="Times New Roman"/>
                <w:color w:val="000000"/>
              </w:rPr>
              <w:t>为</w:t>
            </w:r>
            <w:r>
              <w:rPr>
                <w:rFonts w:hint="eastAsia" w:ascii="宋体" w:cs="Times New Roman"/>
                <w:color w:val="000000"/>
              </w:rPr>
              <w:t>该类</w:t>
            </w:r>
            <w:r>
              <w:rPr>
                <w:rFonts w:ascii="宋体" w:cs="Times New Roman"/>
                <w:color w:val="000000"/>
              </w:rPr>
              <w:t>患者的代谢手术提供了重要的指导</w:t>
            </w:r>
            <w:r>
              <w:rPr>
                <w:rFonts w:hint="eastAsia" w:ascii="宋体" w:cs="Times New Roman"/>
                <w:color w:val="000000"/>
              </w:rPr>
              <w:t>。（2）拓展代谢手术的应用，为肥胖及相关代谢性疾病的外科治疗提供新思路、新策略。我们先后在国内外首次报道了S</w:t>
            </w:r>
            <w:r>
              <w:rPr>
                <w:rFonts w:ascii="宋体" w:cs="Times New Roman"/>
                <w:color w:val="000000"/>
              </w:rPr>
              <w:t>G</w:t>
            </w:r>
            <w:r>
              <w:rPr>
                <w:rFonts w:hint="eastAsia" w:ascii="宋体" w:cs="Times New Roman"/>
                <w:color w:val="000000"/>
              </w:rPr>
              <w:t>能够调节肥胖患者的促甲状腺激素水平，还能通过降低血脂来控制高脂血症胰腺炎的复发，针对合并限制性肺功能障碍的肥胖</w:t>
            </w:r>
            <w:r>
              <w:rPr>
                <w:rFonts w:ascii="宋体" w:cs="Times New Roman"/>
                <w:color w:val="000000"/>
              </w:rPr>
              <w:t>T2DM</w:t>
            </w:r>
            <w:r>
              <w:rPr>
                <w:rFonts w:hint="eastAsia" w:ascii="宋体" w:cs="Times New Roman"/>
                <w:color w:val="000000"/>
              </w:rPr>
              <w:t>患者，我们还证实了</w:t>
            </w:r>
            <w:r>
              <w:rPr>
                <w:rFonts w:ascii="宋体" w:cs="Times New Roman"/>
                <w:color w:val="000000"/>
              </w:rPr>
              <w:t>SG</w:t>
            </w:r>
            <w:r>
              <w:rPr>
                <w:rFonts w:hint="eastAsia" w:ascii="宋体" w:cs="Times New Roman"/>
                <w:color w:val="000000"/>
              </w:rPr>
              <w:t>能显著改善肺功能障碍。（3）深度融合临床研究与基础实验，创新性地解析代谢手术治疗肥胖及其相关代谢性疾病的机制，并深入揭示其机理。我们首次报道了SG可通过调控肠道钠/葡萄糖协同转运蛋白1（SGLT1）的表达来减少葡萄糖吸收，间接印证了残胃体积变化是SG术后疗效保证的关键因素。我们还对比了SG和RYGB前后肥胖患者肠道菌群的组成，发现SG导致更明显的肠道菌群丰度改变，因此我们提出了减重手术后肠道菌群通过活化固有层免疫细胞，进而改善T2DM的科学假设，这一设想也获得了国家自然科学基金的资助。同时，本团队发现了褪黑素可以通过EGFR/BRG1/TERT轴调节并减轻肥胖相关性肝病，为这类疾病的治疗提供了新思路、新靶点。此外，我们还报道了蜂蜜、S-烯丙基巯基半胱氨酸、枸杞多糖等中药及中药提取物能改善肥胖相关性肝病的损伤，并探讨了其发挥效应的机制，推动了肥胖相关代谢性疾病治疗的非手术化发展。</w:t>
            </w:r>
          </w:p>
          <w:p>
            <w:pPr>
              <w:spacing w:line="390" w:lineRule="exact"/>
              <w:ind w:firstLine="420" w:firstLineChars="200"/>
              <w:jc w:val="left"/>
              <w:rPr>
                <w:rFonts w:ascii="宋体" w:cs="Times New Roman"/>
                <w:color w:val="000000"/>
              </w:rPr>
            </w:pPr>
            <w:r>
              <w:rPr>
                <w:rFonts w:hint="eastAsia" w:ascii="宋体" w:cs="Times New Roman"/>
                <w:color w:val="000000"/>
              </w:rPr>
              <w:t>本项目在多项国家自然科学基金项目的支持下完成（包括优秀青年基金、面上项目、青年基金等）。相关研究成果已发表SCI论文</w:t>
            </w:r>
            <w:r>
              <w:rPr>
                <w:rFonts w:ascii="宋体" w:cs="Times New Roman"/>
                <w:color w:val="000000"/>
              </w:rPr>
              <w:t>40</w:t>
            </w:r>
            <w:r>
              <w:rPr>
                <w:rFonts w:hint="eastAsia" w:ascii="宋体" w:cs="Times New Roman"/>
                <w:color w:val="000000"/>
              </w:rPr>
              <w:t>余篇，总引用达1</w:t>
            </w:r>
            <w:r>
              <w:rPr>
                <w:rFonts w:ascii="宋体" w:cs="Times New Roman"/>
                <w:color w:val="000000"/>
              </w:rPr>
              <w:t>300</w:t>
            </w:r>
            <w:r>
              <w:rPr>
                <w:rFonts w:hint="eastAsia" w:ascii="宋体" w:cs="Times New Roman"/>
                <w:color w:val="000000"/>
              </w:rPr>
              <w:t>余次，并获专利授权</w:t>
            </w:r>
            <w:r>
              <w:rPr>
                <w:rFonts w:ascii="宋体" w:cs="Times New Roman"/>
                <w:color w:val="000000"/>
              </w:rPr>
              <w:t>16</w:t>
            </w:r>
            <w:r>
              <w:rPr>
                <w:rFonts w:hint="eastAsia" w:ascii="宋体" w:cs="Times New Roman"/>
                <w:color w:val="000000"/>
              </w:rPr>
              <w:t>项。此外，在本项目的实施过程中，团队共治疗肥胖合并相关代谢性疾病患者一千余人，不仅减少了患者平均住院费用，还降低了再入院率。在人才培养方面，该项目实施期间共培养硕士/博士研究生</w:t>
            </w:r>
            <w:r>
              <w:rPr>
                <w:rFonts w:ascii="宋体" w:cs="Times New Roman"/>
                <w:color w:val="000000"/>
              </w:rPr>
              <w:t>10</w:t>
            </w:r>
            <w:r>
              <w:rPr>
                <w:rFonts w:hint="eastAsia" w:ascii="宋体" w:cs="Times New Roman"/>
                <w:color w:val="000000"/>
              </w:rPr>
              <w:t>余名，青年医师近10名，开展国家级继续教育</w:t>
            </w:r>
            <w:r>
              <w:rPr>
                <w:rFonts w:ascii="宋体" w:cs="Times New Roman"/>
                <w:color w:val="000000"/>
              </w:rPr>
              <w:t>3</w:t>
            </w:r>
            <w:r>
              <w:rPr>
                <w:rFonts w:hint="eastAsia" w:ascii="宋体" w:cs="Times New Roman"/>
                <w:color w:val="000000"/>
              </w:rPr>
              <w:t>次，培训200余人次。</w:t>
            </w:r>
          </w:p>
          <w:p>
            <w:pPr>
              <w:spacing w:line="390" w:lineRule="exact"/>
              <w:ind w:firstLine="420" w:firstLineChars="200"/>
              <w:jc w:val="left"/>
              <w:rPr>
                <w:rFonts w:ascii="宋体" w:cs="Times New Roman"/>
                <w:color w:val="000000"/>
              </w:rPr>
            </w:pPr>
            <w:r>
              <w:rPr>
                <w:rFonts w:hint="eastAsia" w:ascii="宋体" w:cs="Times New Roman"/>
                <w:color w:val="000000"/>
              </w:rPr>
              <w:t>项目成果已在川北医学院附属医院、暨南大学第一附属医院、中南大学湘雅医院等十余家省内外医院推广，在推广过程中，取得了良好的社会、经济效益，具有良好的应用前景。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0"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szCs w:val="21"/>
              </w:rPr>
            </w:pPr>
            <w:r>
              <w:rPr>
                <w:rFonts w:hint="eastAsia" w:ascii="宋体" w:cs="宋体"/>
                <w:szCs w:val="21"/>
              </w:rPr>
              <w:t>第一完成</w:t>
            </w:r>
          </w:p>
          <w:p>
            <w:pPr>
              <w:spacing w:line="360" w:lineRule="auto"/>
              <w:jc w:val="center"/>
              <w:rPr>
                <w:rFonts w:ascii="黑体" w:eastAsia="黑体"/>
                <w:sz w:val="24"/>
                <w:szCs w:val="24"/>
              </w:rPr>
            </w:pPr>
            <w:r>
              <w:rPr>
                <w:rFonts w:hint="eastAsia" w:ascii="宋体" w:cs="宋体"/>
                <w:szCs w:val="21"/>
              </w:rPr>
              <w:t>单位意见</w:t>
            </w:r>
          </w:p>
        </w:tc>
        <w:tc>
          <w:tcPr>
            <w:tcW w:w="7360"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firstLineChars="200"/>
              <w:rPr>
                <w:rFonts w:ascii="宋体" w:cs="宋体"/>
                <w:szCs w:val="21"/>
              </w:rPr>
            </w:pPr>
            <w:r>
              <w:rPr>
                <w:rFonts w:hint="eastAsia" w:ascii="宋体" w:cs="宋体"/>
                <w:szCs w:val="21"/>
              </w:rPr>
              <w:t>省科学技术奖候选者不存在以下任何情形：根据相关法律、法规规定，处于被立案审查调查期间的；被判处刑罚或者受到行政处罚、党纪处分、政务处分，并依法被限制表彰奖励的；记入科研诚信严重失信行为数据库，处于惩戒期内的。</w:t>
            </w:r>
          </w:p>
          <w:p>
            <w:pPr>
              <w:spacing w:line="360" w:lineRule="auto"/>
              <w:ind w:firstLine="420" w:firstLineChars="200"/>
              <w:rPr>
                <w:rFonts w:ascii="宋体" w:cs="宋体"/>
                <w:szCs w:val="21"/>
              </w:rPr>
            </w:pPr>
            <w:r>
              <w:rPr>
                <w:rFonts w:hint="eastAsia" w:ascii="宋体" w:cs="宋体"/>
                <w:szCs w:val="21"/>
              </w:rPr>
              <w:t>科学技术项目成果不存在以下任何情形：在知识产权以及项目成果完成单位、完成人等方面有争议尚未解决的；依法应当取得相关行政许可而为取得的；项目成果已在其他省部级以上科学技术奖励中使用过的。</w:t>
            </w: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r>
              <w:rPr>
                <w:rFonts w:hint="eastAsia" w:ascii="宋体" w:cs="宋体"/>
                <w:szCs w:val="21"/>
              </w:rPr>
              <w:t>单位法人签名：                    单位盖章</w:t>
            </w:r>
          </w:p>
          <w:p>
            <w:pPr>
              <w:ind w:firstLine="630" w:firstLineChars="300"/>
              <w:rPr>
                <w:rFonts w:ascii="仿宋_GB2312" w:eastAsia="仿宋_GB2312"/>
                <w:sz w:val="24"/>
                <w:szCs w:val="24"/>
              </w:rPr>
            </w:pPr>
            <w:r>
              <w:rPr>
                <w:rFonts w:hint="eastAsia" w:ascii="宋体" w:cs="宋体"/>
                <w:szCs w:val="21"/>
              </w:rPr>
              <w:t xml:space="preserve">                                  年   月   日</w:t>
            </w:r>
          </w:p>
        </w:tc>
      </w:tr>
    </w:tbl>
    <w:p>
      <w:pPr>
        <w:spacing w:line="390" w:lineRule="exact"/>
        <w:jc w:val="center"/>
        <w:outlineLvl w:val="1"/>
        <w:rPr>
          <w:rFonts w:ascii="黑体" w:eastAsia="黑体" w:cs="黑体"/>
          <w:bCs/>
          <w:color w:val="000000"/>
          <w:kern w:val="0"/>
          <w:sz w:val="28"/>
          <w:szCs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color w:val="000000"/>
          <w:kern w:val="0"/>
          <w:sz w:val="28"/>
        </w:rPr>
      </w:pPr>
      <w:r>
        <w:rPr>
          <w:rFonts w:hint="eastAsia" w:ascii="宋体" w:cs="Times New Roman"/>
          <w:b/>
          <w:bCs/>
          <w:color w:val="000000"/>
          <w:kern w:val="0"/>
          <w:sz w:val="28"/>
        </w:rPr>
        <w:t>二</w:t>
      </w:r>
      <w:r>
        <w:rPr>
          <w:rFonts w:ascii="宋体" w:cs="Times New Roman"/>
          <w:b/>
          <w:bCs/>
          <w:color w:val="000000"/>
          <w:kern w:val="0"/>
          <w:sz w:val="28"/>
        </w:rPr>
        <w:t>、</w:t>
      </w:r>
      <w:r>
        <w:rPr>
          <w:rFonts w:ascii="宋体" w:cs="Times New Roman"/>
          <w:b/>
          <w:color w:val="000000"/>
          <w:kern w:val="0"/>
          <w:sz w:val="28"/>
        </w:rPr>
        <w:t>提名</w:t>
      </w:r>
      <w:r>
        <w:rPr>
          <w:rFonts w:hint="eastAsia" w:ascii="宋体" w:cs="Times New Roman"/>
          <w:b/>
          <w:color w:val="000000"/>
          <w:kern w:val="0"/>
          <w:sz w:val="28"/>
        </w:rPr>
        <w:t>单位</w:t>
      </w:r>
      <w:r>
        <w:rPr>
          <w:rFonts w:ascii="宋体" w:cs="Times New Roman"/>
          <w:b/>
          <w:color w:val="000000"/>
          <w:kern w:val="0"/>
          <w:sz w:val="28"/>
        </w:rPr>
        <w:t>意见</w:t>
      </w:r>
    </w:p>
    <w:tbl>
      <w:tblPr>
        <w:tblStyle w:val="10"/>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481"/>
        <w:gridCol w:w="1091"/>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提名单位</w:t>
            </w:r>
          </w:p>
        </w:tc>
        <w:tc>
          <w:tcPr>
            <w:tcW w:w="7686" w:type="dxa"/>
            <w:gridSpan w:val="3"/>
            <w:tcBorders>
              <w:top w:val="single" w:color="auto" w:sz="8"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南充市人民政府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通讯地址</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四川省南充市顺庆区万年西路2号</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邮政编码</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637000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联 系 人</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马文龙</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联系电话</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13518290052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电子邮箱</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406299741@qq.com</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传    真</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0817-2236280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1"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rPr>
                <w:rFonts w:ascii="宋体" w:cs="Times New Roman"/>
                <w:color w:val="000000"/>
                <w:szCs w:val="20"/>
              </w:rPr>
            </w:pPr>
            <w:r>
              <w:rPr>
                <w:rFonts w:hint="eastAsia" w:ascii="宋体" w:cs="Times New Roman"/>
                <w:color w:val="000000"/>
                <w:szCs w:val="20"/>
              </w:rPr>
              <w:t>提名意见：</w:t>
            </w:r>
          </w:p>
          <w:p>
            <w:pPr>
              <w:ind w:firstLine="420" w:firstLineChars="200"/>
              <w:rPr>
                <w:rFonts w:ascii="宋体" w:cs="Times New Roman"/>
                <w:color w:val="000000"/>
                <w:szCs w:val="20"/>
              </w:rPr>
            </w:pPr>
            <w:r>
              <w:rPr>
                <w:rFonts w:hint="eastAsia" w:ascii="宋体" w:cs="Times New Roman"/>
                <w:color w:val="000000"/>
                <w:szCs w:val="20"/>
              </w:rPr>
              <w:t>任亦星教授团队的项目“肥胖及其代谢性疾病外科治疗的体系建立与应用”技术资料完整，符合提名要求。项目聚焦肥胖症患者，提出“建立减重代谢外科手术在中国本土化应用体系”的理念。团队发现胃囊体积与术后疗效有较为肯定的关系，提倡术中精准测量胃囊体积并创立了测算方法，研究分析了不同B</w:t>
            </w:r>
            <w:r>
              <w:rPr>
                <w:rFonts w:ascii="宋体" w:cs="Times New Roman"/>
                <w:color w:val="000000"/>
                <w:szCs w:val="20"/>
              </w:rPr>
              <w:t>MI</w:t>
            </w:r>
            <w:r>
              <w:rPr>
                <w:rFonts w:hint="eastAsia" w:ascii="宋体" w:cs="Times New Roman"/>
                <w:color w:val="000000"/>
                <w:szCs w:val="20"/>
              </w:rPr>
              <w:t>肥胖人群减重手术的应用与效果，为肥胖患者的教育与支持提供了宝贵经验。针对复发性高脂血症胰腺炎、限制性通气功能障碍、甲状腺功能减退及夜尿症等肥胖患者，团队首次尝试应用腹腔镜袖状胃手术治疗并得到了改善，并在国际上率先发表了相关文章，积累了初步经验。新冠疫情期间，团队积极</w:t>
            </w:r>
            <w:r>
              <w:rPr>
                <w:rFonts w:hint="eastAsia" w:ascii="宋体" w:cs="Times New Roman"/>
                <w:szCs w:val="20"/>
              </w:rPr>
              <w:t>响应需求，报道了居民体重因生活方式改变的研究成果，为封城国家或地区提供参考。同时团队报道了在疫情期间如何科学安全地开展减重手术，为疫情形势下全球范围内减重手术的顺利开展提出方法。</w:t>
            </w:r>
            <w:r>
              <w:rPr>
                <w:rFonts w:hint="eastAsia" w:ascii="宋体" w:cs="Times New Roman"/>
                <w:color w:val="000000"/>
                <w:szCs w:val="20"/>
              </w:rPr>
              <w:t>基础研究方面，团队将肠道葡萄糖感受器SGLT3、 I</w:t>
            </w:r>
            <w:r>
              <w:rPr>
                <w:rFonts w:ascii="宋体" w:cs="Times New Roman"/>
                <w:color w:val="000000"/>
                <w:szCs w:val="20"/>
              </w:rPr>
              <w:t>LC3</w:t>
            </w:r>
            <w:r>
              <w:rPr>
                <w:rFonts w:hint="eastAsia" w:ascii="宋体" w:cs="Times New Roman"/>
                <w:color w:val="000000"/>
                <w:szCs w:val="20"/>
              </w:rPr>
              <w:t>与肠道菌群等引入代谢外科领域，为该领域提供了新思路与新方向。项目还研究了</w:t>
            </w:r>
            <w:r>
              <w:rPr>
                <w:rFonts w:ascii="宋体" w:cs="Times New Roman"/>
                <w:color w:val="000000"/>
                <w:szCs w:val="20"/>
              </w:rPr>
              <w:t>中医药治疗肥胖相关性肝病的方法和机制</w:t>
            </w:r>
            <w:r>
              <w:rPr>
                <w:rFonts w:hint="eastAsia" w:ascii="宋体" w:cs="Times New Roman"/>
                <w:color w:val="000000"/>
                <w:szCs w:val="20"/>
              </w:rPr>
              <w:t>，</w:t>
            </w:r>
            <w:r>
              <w:rPr>
                <w:rFonts w:hint="eastAsia" w:ascii="宋体" w:cs="Times New Roman"/>
                <w:szCs w:val="20"/>
              </w:rPr>
              <w:t>为其治疗</w:t>
            </w:r>
            <w:r>
              <w:rPr>
                <w:rFonts w:hint="eastAsia" w:ascii="宋体" w:cs="Times New Roman"/>
                <w:color w:val="000000"/>
                <w:szCs w:val="20"/>
              </w:rPr>
              <w:t>提供了中国特色的解决方案。项目对肥胖症的控制不仅能改善肥胖相关代谢性疾病，还能节约国家医疗支出，协助解决“肥胖大国”的问题。同时，利用该项目的研究成果，能够提高手术安全性，降低并发症的发生率，减轻国家和个人医疗支出负担，具有较大的推广应用价值和应用前景。</w:t>
            </w:r>
          </w:p>
          <w:p>
            <w:pPr>
              <w:ind w:firstLine="428" w:firstLineChars="200"/>
              <w:rPr>
                <w:rFonts w:ascii="宋体" w:cs="Times New Roman"/>
                <w:b/>
                <w:bCs/>
                <w:strike/>
                <w:color w:val="000000"/>
                <w:szCs w:val="20"/>
              </w:rPr>
            </w:pPr>
            <w:r>
              <w:rPr>
                <w:rFonts w:hint="eastAsia" w:ascii="宋体" w:cs="Times New Roman"/>
                <w:bCs/>
                <w:color w:val="000000"/>
                <w:spacing w:val="2"/>
                <w:szCs w:val="20"/>
              </w:rPr>
              <w:t>同意提名该项目申报四川省科学技术进步奖。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9"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spacing w:line="320" w:lineRule="exact"/>
              <w:ind w:firstLine="422" w:firstLineChars="200"/>
              <w:rPr>
                <w:rFonts w:ascii="仿宋_GB2312" w:hAnsi="仿宋_GB2312" w:cs="Times New Roman"/>
                <w:color w:val="000000"/>
                <w:sz w:val="24"/>
              </w:rPr>
            </w:pPr>
            <w:r>
              <w:rPr>
                <w:rFonts w:hint="eastAsia" w:ascii="宋体" w:cs="Times New Roman"/>
                <w:b/>
                <w:bCs/>
                <w:color w:val="000000"/>
              </w:rPr>
              <w:t>声</w:t>
            </w:r>
            <w:r>
              <w:rPr>
                <w:rFonts w:ascii="宋体" w:cs="Times New Roman"/>
                <w:b/>
                <w:bCs/>
                <w:color w:val="000000"/>
              </w:rPr>
              <w:t>明：</w:t>
            </w:r>
            <w:r>
              <w:rPr>
                <w:rFonts w:hint="eastAsia" w:ascii="宋体" w:cs="Times New Roman"/>
                <w:color w:val="000000"/>
              </w:rPr>
              <w:t>本单位遵守《四川省科学技术奖励办法》等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imes New Roman" w:hAnsi="Times New Roman" w:cs="Times New Roman"/>
                <w:color w:val="000000"/>
                <w:szCs w:val="20"/>
              </w:rPr>
            </w:pPr>
          </w:p>
          <w:p>
            <w:pPr>
              <w:rPr>
                <w:rFonts w:ascii="Times New Roman" w:hAnsi="Times New Roman" w:cs="Times New Roman"/>
                <w:color w:val="000000"/>
                <w:szCs w:val="20"/>
              </w:rPr>
            </w:pPr>
          </w:p>
          <w:p>
            <w:pPr>
              <w:rPr>
                <w:rFonts w:ascii="Times New Roman" w:hAnsi="Times New Roman" w:cs="Times New Roman"/>
                <w:color w:val="000000"/>
                <w:szCs w:val="20"/>
              </w:rPr>
            </w:pPr>
          </w:p>
          <w:p>
            <w:pPr>
              <w:rPr>
                <w:rFonts w:ascii="Times New Roman" w:hAnsi="Times New Roman" w:cs="Times New Roman"/>
                <w:color w:val="000000"/>
                <w:szCs w:val="20"/>
              </w:rPr>
            </w:pPr>
          </w:p>
          <w:p>
            <w:pPr>
              <w:ind w:firstLine="420" w:firstLineChars="200"/>
              <w:rPr>
                <w:rFonts w:ascii="Times New Roman" w:hAnsi="Times New Roman" w:cs="Times New Roman"/>
                <w:color w:val="000000"/>
                <w:szCs w:val="20"/>
              </w:rPr>
            </w:pPr>
            <w:r>
              <w:rPr>
                <w:rFonts w:hint="eastAsia" w:ascii="Times New Roman" w:hAnsi="Times New Roman" w:cs="Times New Roman"/>
                <w:color w:val="000000"/>
                <w:szCs w:val="20"/>
              </w:rPr>
              <w:t xml:space="preserve">     单位负责人签名：                             提名单位（盖章） </w:t>
            </w:r>
          </w:p>
          <w:p>
            <w:pPr>
              <w:ind w:firstLine="420" w:firstLineChars="200"/>
              <w:rPr>
                <w:rFonts w:ascii="Times New Roman" w:hAnsi="Times New Roman" w:cs="Times New Roman"/>
                <w:color w:val="000000"/>
                <w:szCs w:val="20"/>
              </w:rPr>
            </w:pPr>
          </w:p>
          <w:p>
            <w:pPr>
              <w:spacing w:line="360" w:lineRule="auto"/>
              <w:rPr>
                <w:rFonts w:ascii="宋体" w:cs="Times New Roman"/>
                <w:color w:val="000000"/>
                <w:szCs w:val="20"/>
              </w:rPr>
            </w:pPr>
            <w:r>
              <w:rPr>
                <w:rFonts w:hint="eastAsia" w:ascii="宋体" w:cs="Times New Roman"/>
                <w:color w:val="000000"/>
                <w:szCs w:val="20"/>
              </w:rPr>
              <w:t xml:space="preserve">             年   月   日                                   年    月    日</w:t>
            </w:r>
          </w:p>
        </w:tc>
      </w:tr>
    </w:tbl>
    <w:p>
      <w:pPr>
        <w:spacing w:line="390" w:lineRule="exact"/>
        <w:jc w:val="center"/>
        <w:outlineLvl w:val="1"/>
        <w:rPr>
          <w:rFonts w:ascii="黑体" w:eastAsia="黑体" w:cs="黑体"/>
          <w:bCs/>
          <w:color w:val="000000"/>
          <w:kern w:val="0"/>
          <w:sz w:val="28"/>
          <w:szCs w:val="28"/>
        </w:rPr>
      </w:pPr>
    </w:p>
    <w:p>
      <w:pPr>
        <w:spacing w:line="390" w:lineRule="exact"/>
        <w:jc w:val="center"/>
        <w:outlineLvl w:val="1"/>
        <w:rPr>
          <w:rFonts w:ascii="宋体" w:cs="宋体"/>
          <w:szCs w:val="21"/>
        </w:rPr>
      </w:pPr>
      <w:r>
        <w:rPr>
          <w:rFonts w:hint="eastAsia" w:ascii="宋体" w:cs="Times New Roman"/>
          <w:b/>
          <w:color w:val="000000"/>
          <w:sz w:val="28"/>
          <w:szCs w:val="20"/>
        </w:rPr>
        <w:t>三、主要知识产权和标准规范等目录</w:t>
      </w:r>
      <w:r>
        <w:rPr>
          <w:rFonts w:hint="eastAsia" w:ascii="宋体" w:cs="宋体"/>
          <w:szCs w:val="21"/>
        </w:rPr>
        <w:t>（不超过10件）</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知识产权（标准）类别</w:t>
            </w:r>
          </w:p>
        </w:tc>
        <w:tc>
          <w:tcPr>
            <w:tcW w:w="126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知识产权（标准）具体名称</w:t>
            </w:r>
          </w:p>
        </w:tc>
        <w:tc>
          <w:tcPr>
            <w:tcW w:w="102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国家</w:t>
            </w:r>
          </w:p>
          <w:p>
            <w:pPr>
              <w:spacing w:line="360" w:lineRule="auto"/>
              <w:jc w:val="center"/>
              <w:rPr>
                <w:rFonts w:ascii="宋体" w:cs="宋体"/>
                <w:szCs w:val="21"/>
              </w:rPr>
            </w:pPr>
            <w:r>
              <w:rPr>
                <w:rFonts w:hint="eastAsia" w:ascii="宋体" w:cs="宋体"/>
                <w:szCs w:val="21"/>
              </w:rPr>
              <w:t>（地区）</w:t>
            </w:r>
          </w:p>
        </w:tc>
        <w:tc>
          <w:tcPr>
            <w:tcW w:w="849"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授权号（标准编号）</w:t>
            </w:r>
          </w:p>
        </w:tc>
        <w:tc>
          <w:tcPr>
            <w:tcW w:w="99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授权（标准发布）日期</w:t>
            </w:r>
          </w:p>
        </w:tc>
        <w:tc>
          <w:tcPr>
            <w:tcW w:w="1134"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证书编号</w:t>
            </w:r>
          </w:p>
          <w:p>
            <w:pPr>
              <w:spacing w:line="360" w:lineRule="auto"/>
              <w:jc w:val="center"/>
              <w:rPr>
                <w:rFonts w:ascii="宋体" w:cs="宋体"/>
                <w:szCs w:val="21"/>
              </w:rPr>
            </w:pPr>
            <w:r>
              <w:rPr>
                <w:rFonts w:hint="eastAsia" w:ascii="宋体" w:cs="宋体"/>
                <w:szCs w:val="21"/>
              </w:rPr>
              <w:t>（标准批准发布部门）</w:t>
            </w:r>
          </w:p>
        </w:tc>
        <w:tc>
          <w:tcPr>
            <w:tcW w:w="85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权利人（标准起草单位）</w:t>
            </w:r>
          </w:p>
        </w:tc>
        <w:tc>
          <w:tcPr>
            <w:tcW w:w="85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发明人（标准起草人）</w:t>
            </w:r>
          </w:p>
        </w:tc>
        <w:tc>
          <w:tcPr>
            <w:tcW w:w="1183"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可调节式胃旁路手术胃囊体积量化器</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ZL201621437731.3</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2018.01.30</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任亦星</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任亦星</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小鼠或大鼠袖状胃手术闭合器</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ZL201621060491.X</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2017.09.01</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任亦星</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任亦星</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实验动物多功能固定支架</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ZL</w:t>
            </w:r>
            <w:r>
              <w:t>201720505029.4</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w:t>
            </w:r>
            <w:r>
              <w:rPr>
                <w:rFonts w:ascii="宋体" w:cs="宋体"/>
                <w:szCs w:val="21"/>
              </w:rPr>
              <w:t>018.08.03</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任亦星</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任亦星</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切药器</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Z</w:t>
            </w:r>
            <w:r>
              <w:rPr>
                <w:rFonts w:ascii="宋体" w:cs="宋体"/>
                <w:szCs w:val="21"/>
              </w:rPr>
              <w:t>L201921994735.5</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w:t>
            </w:r>
            <w:r>
              <w:rPr>
                <w:rFonts w:ascii="宋体" w:cs="宋体"/>
                <w:szCs w:val="21"/>
              </w:rPr>
              <w:t>020.07.28</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任亦星</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任亦星</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医用手术排线器</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ascii="宋体" w:cs="宋体"/>
                <w:szCs w:val="21"/>
              </w:rPr>
              <w:t>ZL201620430417.6</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w:t>
            </w:r>
            <w:r>
              <w:rPr>
                <w:rFonts w:ascii="宋体" w:cs="宋体"/>
                <w:szCs w:val="21"/>
              </w:rPr>
              <w:t>016.12.07</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任亦星</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任亦星</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一种专用于腹腔镜袖状胃切除术的胃管引导管</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ascii="宋体" w:cs="宋体"/>
                <w:szCs w:val="21"/>
              </w:rPr>
              <w:t>ZL 201920411755.9</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2020.</w:t>
            </w:r>
            <w:r>
              <w:rPr>
                <w:rFonts w:ascii="宋体" w:cs="宋体"/>
                <w:szCs w:val="21"/>
              </w:rPr>
              <w:t>0</w:t>
            </w:r>
            <w:r>
              <w:rPr>
                <w:rFonts w:hint="eastAsia" w:ascii="宋体" w:cs="宋体"/>
                <w:szCs w:val="21"/>
              </w:rPr>
              <w:t>7.14</w:t>
            </w:r>
            <w:r>
              <w:rPr>
                <w:rFonts w:ascii="宋体" w:cs="宋体"/>
                <w:szCs w:val="21"/>
              </w:rPr>
              <w:t xml:space="preserve"> </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杨景哥</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杨景哥</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Style w:val="14"/>
                <w:rFonts w:hint="eastAsia" w:ascii="宋体" w:hAnsi="宋体"/>
              </w:rPr>
              <w:t>一种腹腔镜减重手术用拉钩</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Style w:val="14"/>
                <w:rFonts w:hint="eastAsia" w:ascii="宋体" w:hAnsi="宋体"/>
              </w:rPr>
              <w:t>ZL201721846000.9</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w:t>
            </w:r>
            <w:r>
              <w:rPr>
                <w:rFonts w:ascii="宋体" w:cs="宋体"/>
                <w:szCs w:val="21"/>
              </w:rPr>
              <w:t>019.06.18</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杨景哥</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杨景哥</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发明专利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枸杞多糖在制备降低血氨的药物及治疗肝性脑病的药物中的应用</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ascii="宋体" w:cs="宋体"/>
                <w:szCs w:val="21"/>
              </w:rPr>
              <w:t>CN105596359B</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ascii="宋体" w:cs="宋体"/>
                <w:szCs w:val="21"/>
              </w:rPr>
              <w:t>2018.05.08</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肖佳</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肖佳</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发明专利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枸杞红素的用途</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ascii="宋体" w:cs="宋体"/>
                <w:szCs w:val="21"/>
              </w:rPr>
              <w:t>CN105969725</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ascii="宋体" w:cs="宋体"/>
                <w:szCs w:val="21"/>
              </w:rPr>
              <w:t>2019.04.26</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肖佳</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肖佳</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发明专利</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枸杞红素抗酒精性肝损伤的新机制及其保肝产品的应用</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ascii="宋体" w:cs="宋体"/>
                <w:szCs w:val="21"/>
              </w:rPr>
              <w:t>CN108066334A</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ascii="宋体" w:cs="宋体"/>
                <w:szCs w:val="21"/>
              </w:rPr>
              <w:t>2020.02.07</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中华人民共和国国家知识产权局</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肖佳</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肖佳</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有效</w:t>
            </w:r>
          </w:p>
        </w:tc>
      </w:tr>
    </w:tbl>
    <w:p>
      <w:pPr>
        <w:spacing w:line="390" w:lineRule="exact"/>
        <w:jc w:val="center"/>
        <w:outlineLvl w:val="1"/>
        <w:rPr>
          <w:rFonts w:ascii="宋体" w:cs="Times New Roman"/>
          <w:b/>
          <w:color w:val="000000"/>
          <w:sz w:val="28"/>
          <w:szCs w:val="20"/>
        </w:rPr>
      </w:pPr>
      <w:r>
        <w:rPr>
          <w:rFonts w:hint="eastAsia" w:ascii="宋体" w:cs="Times New Roman"/>
          <w:b/>
          <w:color w:val="000000"/>
          <w:sz w:val="28"/>
          <w:szCs w:val="20"/>
        </w:rPr>
        <w:t>四、论文专著目录</w:t>
      </w:r>
      <w:r>
        <w:rPr>
          <w:rFonts w:hint="eastAsia" w:ascii="宋体" w:cs="宋体"/>
          <w:szCs w:val="21"/>
        </w:rPr>
        <w:t>（不超过5篇/部，非必填）</w:t>
      </w:r>
    </w:p>
    <w:tbl>
      <w:tblPr>
        <w:tblStyle w:val="10"/>
        <w:tblW w:w="94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759"/>
        <w:gridCol w:w="1161"/>
        <w:gridCol w:w="642"/>
        <w:gridCol w:w="683"/>
        <w:gridCol w:w="661"/>
        <w:gridCol w:w="1028"/>
        <w:gridCol w:w="605"/>
        <w:gridCol w:w="688"/>
        <w:gridCol w:w="1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426"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序号</w:t>
            </w:r>
          </w:p>
        </w:tc>
        <w:tc>
          <w:tcPr>
            <w:tcW w:w="2759"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论文（专著）</w:t>
            </w:r>
          </w:p>
          <w:p>
            <w:pPr>
              <w:spacing w:line="360" w:lineRule="auto"/>
              <w:jc w:val="center"/>
              <w:rPr>
                <w:rFonts w:ascii="宋体" w:cs="宋体"/>
                <w:szCs w:val="21"/>
              </w:rPr>
            </w:pPr>
            <w:r>
              <w:rPr>
                <w:rFonts w:hint="eastAsia" w:ascii="宋体" w:cs="宋体"/>
                <w:szCs w:val="21"/>
              </w:rPr>
              <w:t>名称/刊名</w:t>
            </w:r>
          </w:p>
          <w:p>
            <w:pPr>
              <w:spacing w:line="360" w:lineRule="auto"/>
              <w:jc w:val="center"/>
              <w:rPr>
                <w:rFonts w:ascii="宋体" w:cs="宋体"/>
                <w:szCs w:val="21"/>
              </w:rPr>
            </w:pPr>
            <w:r>
              <w:rPr>
                <w:rFonts w:hint="eastAsia" w:ascii="宋体" w:cs="宋体"/>
                <w:szCs w:val="21"/>
              </w:rPr>
              <w:t>/作者</w:t>
            </w:r>
          </w:p>
        </w:tc>
        <w:tc>
          <w:tcPr>
            <w:tcW w:w="116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年卷页码</w:t>
            </w:r>
          </w:p>
          <w:p>
            <w:pPr>
              <w:spacing w:line="360" w:lineRule="auto"/>
              <w:jc w:val="center"/>
              <w:rPr>
                <w:rFonts w:ascii="宋体" w:cs="宋体"/>
                <w:szCs w:val="21"/>
              </w:rPr>
            </w:pPr>
            <w:r>
              <w:rPr>
                <w:rFonts w:hint="eastAsia" w:ascii="宋体" w:cs="宋体"/>
                <w:szCs w:val="21"/>
              </w:rPr>
              <w:t>（xx年xx卷</w:t>
            </w:r>
          </w:p>
          <w:p>
            <w:pPr>
              <w:spacing w:line="360" w:lineRule="auto"/>
              <w:jc w:val="center"/>
              <w:rPr>
                <w:rFonts w:ascii="宋体" w:cs="宋体"/>
                <w:szCs w:val="21"/>
              </w:rPr>
            </w:pPr>
            <w:r>
              <w:rPr>
                <w:rFonts w:hint="eastAsia" w:ascii="宋体" w:cs="宋体"/>
                <w:szCs w:val="21"/>
              </w:rPr>
              <w:t>xx页）</w:t>
            </w:r>
          </w:p>
        </w:tc>
        <w:tc>
          <w:tcPr>
            <w:tcW w:w="64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发表时间（年月 日）</w:t>
            </w:r>
          </w:p>
        </w:tc>
        <w:tc>
          <w:tcPr>
            <w:tcW w:w="683"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通讯作者（含共同）</w:t>
            </w:r>
          </w:p>
        </w:tc>
        <w:tc>
          <w:tcPr>
            <w:tcW w:w="66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第一作者（含共同）</w:t>
            </w:r>
          </w:p>
        </w:tc>
        <w:tc>
          <w:tcPr>
            <w:tcW w:w="1028"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国内作者</w:t>
            </w:r>
          </w:p>
        </w:tc>
        <w:tc>
          <w:tcPr>
            <w:tcW w:w="605"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他引总次数</w:t>
            </w:r>
          </w:p>
        </w:tc>
        <w:tc>
          <w:tcPr>
            <w:tcW w:w="425"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检索数据库</w:t>
            </w:r>
          </w:p>
        </w:tc>
        <w:tc>
          <w:tcPr>
            <w:tcW w:w="1074"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2" w:hRule="exact"/>
          <w:jc w:val="center"/>
        </w:trPr>
        <w:tc>
          <w:tcPr>
            <w:tcW w:w="426"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1</w:t>
            </w:r>
          </w:p>
        </w:tc>
        <w:tc>
          <w:tcPr>
            <w:tcW w:w="275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The Effects of Laparoscopic Sleeve Gastrectomy on Obesity-Related Hypertriglyceridemia-Induced Acute Pancreatitis</w:t>
            </w:r>
          </w:p>
        </w:tc>
        <w:tc>
          <w:tcPr>
            <w:tcW w:w="116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2018年28(12)卷3872-3879页</w:t>
            </w:r>
          </w:p>
        </w:tc>
        <w:tc>
          <w:tcPr>
            <w:tcW w:w="64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2018年12月1日</w:t>
            </w:r>
          </w:p>
        </w:tc>
        <w:tc>
          <w:tcPr>
            <w:tcW w:w="6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任亦星</w:t>
            </w:r>
          </w:p>
        </w:tc>
        <w:tc>
          <w:tcPr>
            <w:tcW w:w="66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宋勇砚</w:t>
            </w:r>
          </w:p>
        </w:tc>
        <w:tc>
          <w:tcPr>
            <w:tcW w:w="102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邓欢，周杰，孙姬，张小明</w:t>
            </w:r>
          </w:p>
        </w:tc>
        <w:tc>
          <w:tcPr>
            <w:tcW w:w="605" w:type="dxa"/>
            <w:tcBorders>
              <w:top w:val="single" w:color="auto" w:sz="4" w:space="0"/>
              <w:left w:val="single" w:color="auto" w:sz="8" w:space="0"/>
              <w:bottom w:val="single" w:color="auto" w:sz="8" w:space="0"/>
              <w:right w:val="single" w:color="auto" w:sz="8" w:space="0"/>
            </w:tcBorders>
            <w:noWrap/>
          </w:tcPr>
          <w:p>
            <w:pPr>
              <w:jc w:val="center"/>
            </w:pPr>
            <w:r>
              <w:rPr>
                <w:rFonts w:hint="eastAsia"/>
              </w:rPr>
              <w:t>6</w:t>
            </w:r>
          </w:p>
        </w:tc>
        <w:tc>
          <w:tcPr>
            <w:tcW w:w="425"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ascii="宋体" w:cs="宋体"/>
                <w:szCs w:val="21"/>
              </w:rPr>
              <w:t>S</w:t>
            </w:r>
            <w:r>
              <w:rPr>
                <w:rFonts w:ascii="宋体" w:cs="宋体"/>
                <w:szCs w:val="21"/>
              </w:rPr>
              <w:t>CI</w:t>
            </w:r>
          </w:p>
        </w:tc>
        <w:tc>
          <w:tcPr>
            <w:tcW w:w="1074" w:type="dxa"/>
            <w:tcBorders>
              <w:top w:val="single" w:color="auto" w:sz="4" w:space="0"/>
              <w:left w:val="single" w:color="auto" w:sz="8" w:space="0"/>
              <w:bottom w:val="single" w:color="auto" w:sz="8" w:space="0"/>
              <w:right w:val="single" w:color="auto" w:sz="8" w:space="0"/>
            </w:tcBorders>
            <w:noWrap/>
          </w:tcPr>
          <w:p>
            <w:pPr>
              <w:spacing w:line="480" w:lineRule="auto"/>
              <w:jc w:val="center"/>
              <w:rPr>
                <w:rFonts w:ascii="宋体" w:cs="宋体"/>
                <w:szCs w:val="21"/>
              </w:rP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5" w:hRule="exact"/>
          <w:jc w:val="center"/>
        </w:trPr>
        <w:tc>
          <w:tcPr>
            <w:tcW w:w="426"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2</w:t>
            </w:r>
          </w:p>
        </w:tc>
        <w:tc>
          <w:tcPr>
            <w:tcW w:w="275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t>Effect of Roux-en-Y gastric bypass with different pouch size in Chinese T2DM patients with BMI 30-35 kg/m</w:t>
            </w:r>
            <w:r>
              <w:rPr>
                <w:vertAlign w:val="superscript"/>
              </w:rPr>
              <w:t>2</w:t>
            </w:r>
          </w:p>
        </w:tc>
        <w:tc>
          <w:tcPr>
            <w:tcW w:w="116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t>2015</w:t>
            </w:r>
            <w:r>
              <w:rPr>
                <w:rFonts w:hint="eastAsia"/>
              </w:rPr>
              <w:t>年</w:t>
            </w:r>
            <w:r>
              <w:t>25(3)</w:t>
            </w:r>
            <w:r>
              <w:rPr>
                <w:rFonts w:hint="eastAsia"/>
              </w:rPr>
              <w:t>卷</w:t>
            </w:r>
            <w:r>
              <w:t>457-63</w:t>
            </w:r>
            <w:r>
              <w:rPr>
                <w:rFonts w:hint="eastAsia"/>
              </w:rPr>
              <w:t>页</w:t>
            </w:r>
          </w:p>
        </w:tc>
        <w:tc>
          <w:tcPr>
            <w:tcW w:w="64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2018年3月1日</w:t>
            </w:r>
          </w:p>
        </w:tc>
        <w:tc>
          <w:tcPr>
            <w:tcW w:w="6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任亦星</w:t>
            </w:r>
          </w:p>
        </w:tc>
        <w:tc>
          <w:tcPr>
            <w:tcW w:w="66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王存川</w:t>
            </w:r>
          </w:p>
        </w:tc>
        <w:tc>
          <w:tcPr>
            <w:tcW w:w="102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rPr>
              <w:t>杨华，杨景哥</w:t>
            </w:r>
          </w:p>
        </w:tc>
        <w:tc>
          <w:tcPr>
            <w:tcW w:w="605" w:type="dxa"/>
            <w:tcBorders>
              <w:top w:val="single" w:color="auto" w:sz="4" w:space="0"/>
              <w:left w:val="single" w:color="auto" w:sz="8" w:space="0"/>
              <w:bottom w:val="single" w:color="auto" w:sz="8" w:space="0"/>
              <w:right w:val="single" w:color="auto" w:sz="8" w:space="0"/>
            </w:tcBorders>
            <w:noWrap/>
          </w:tcPr>
          <w:p>
            <w:pPr>
              <w:jc w:val="center"/>
            </w:pPr>
            <w:r>
              <w:rPr>
                <w:rFonts w:hint="eastAsia"/>
              </w:rPr>
              <w:t>2</w:t>
            </w:r>
            <w:r>
              <w:t>0</w:t>
            </w:r>
          </w:p>
        </w:tc>
        <w:tc>
          <w:tcPr>
            <w:tcW w:w="425"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rPr>
              <w:t>SCI</w:t>
            </w:r>
          </w:p>
        </w:tc>
        <w:tc>
          <w:tcPr>
            <w:tcW w:w="1074" w:type="dxa"/>
            <w:tcBorders>
              <w:top w:val="single" w:color="auto" w:sz="4" w:space="0"/>
              <w:left w:val="single" w:color="auto" w:sz="8" w:space="0"/>
              <w:bottom w:val="single" w:color="auto" w:sz="8" w:space="0"/>
              <w:right w:val="single" w:color="auto" w:sz="8" w:space="0"/>
            </w:tcBorders>
            <w:noWrap/>
          </w:tcPr>
          <w:p>
            <w:pPr>
              <w:spacing w:line="480" w:lineRule="auto"/>
              <w:jc w:val="center"/>
              <w:rPr>
                <w:rFonts w:ascii="宋体" w:cs="宋体"/>
                <w:szCs w:val="21"/>
              </w:rP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5" w:hRule="exact"/>
          <w:jc w:val="center"/>
        </w:trPr>
        <w:tc>
          <w:tcPr>
            <w:tcW w:w="426"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3</w:t>
            </w:r>
          </w:p>
        </w:tc>
        <w:tc>
          <w:tcPr>
            <w:tcW w:w="275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腹腔镜Roux-en-Y胃旁路术治疗2型糖尿病</w:t>
            </w:r>
          </w:p>
        </w:tc>
        <w:tc>
          <w:tcPr>
            <w:tcW w:w="116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w:t>
            </w:r>
            <w:r>
              <w:rPr>
                <w:rFonts w:ascii="宋体" w:cs="宋体"/>
                <w:szCs w:val="21"/>
              </w:rPr>
              <w:t>010</w:t>
            </w:r>
            <w:r>
              <w:rPr>
                <w:rFonts w:hint="eastAsia" w:ascii="宋体" w:cs="宋体"/>
                <w:szCs w:val="21"/>
              </w:rPr>
              <w:t>年3</w:t>
            </w:r>
            <w:r>
              <w:rPr>
                <w:rFonts w:ascii="宋体" w:cs="宋体"/>
                <w:szCs w:val="21"/>
              </w:rPr>
              <w:t>0</w:t>
            </w:r>
            <w:r>
              <w:rPr>
                <w:rFonts w:hint="eastAsia" w:ascii="宋体" w:cs="宋体"/>
                <w:szCs w:val="21"/>
              </w:rPr>
              <w:t>（0</w:t>
            </w:r>
            <w:r>
              <w:rPr>
                <w:rFonts w:ascii="宋体" w:cs="宋体"/>
                <w:szCs w:val="21"/>
              </w:rPr>
              <w:t>6</w:t>
            </w:r>
            <w:r>
              <w:rPr>
                <w:rFonts w:hint="eastAsia" w:ascii="宋体" w:cs="宋体"/>
                <w:szCs w:val="21"/>
              </w:rPr>
              <w:t>）卷1</w:t>
            </w:r>
            <w:r>
              <w:rPr>
                <w:rFonts w:ascii="宋体" w:cs="宋体"/>
                <w:szCs w:val="21"/>
              </w:rPr>
              <w:t>373-1375</w:t>
            </w:r>
            <w:r>
              <w:rPr>
                <w:rFonts w:hint="eastAsia" w:ascii="宋体" w:cs="宋体"/>
                <w:szCs w:val="21"/>
              </w:rPr>
              <w:t>页</w:t>
            </w:r>
          </w:p>
        </w:tc>
        <w:tc>
          <w:tcPr>
            <w:tcW w:w="64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w:t>
            </w:r>
            <w:r>
              <w:rPr>
                <w:rFonts w:ascii="宋体" w:cs="宋体"/>
                <w:szCs w:val="21"/>
              </w:rPr>
              <w:t>010</w:t>
            </w:r>
            <w:r>
              <w:rPr>
                <w:rFonts w:hint="eastAsia" w:ascii="宋体" w:cs="宋体"/>
                <w:szCs w:val="21"/>
              </w:rPr>
              <w:t>年6月2</w:t>
            </w:r>
            <w:r>
              <w:rPr>
                <w:rFonts w:ascii="宋体" w:cs="宋体"/>
                <w:szCs w:val="21"/>
              </w:rPr>
              <w:t>0</w:t>
            </w:r>
            <w:r>
              <w:rPr>
                <w:rFonts w:hint="eastAsia" w:ascii="宋体" w:cs="宋体"/>
                <w:szCs w:val="21"/>
              </w:rPr>
              <w:t>日</w:t>
            </w:r>
          </w:p>
        </w:tc>
        <w:tc>
          <w:tcPr>
            <w:tcW w:w="6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王存川</w:t>
            </w:r>
          </w:p>
        </w:tc>
        <w:tc>
          <w:tcPr>
            <w:tcW w:w="66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杨景哥</w:t>
            </w:r>
          </w:p>
        </w:tc>
        <w:tc>
          <w:tcPr>
            <w:tcW w:w="102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黄 璟，胡友主，李进义，潘运龙，刘贤明，俞春亮，沈莹莹，喻海波</w:t>
            </w:r>
          </w:p>
        </w:tc>
        <w:tc>
          <w:tcPr>
            <w:tcW w:w="605" w:type="dxa"/>
            <w:tcBorders>
              <w:top w:val="single" w:color="auto" w:sz="4" w:space="0"/>
              <w:left w:val="single" w:color="auto" w:sz="8" w:space="0"/>
              <w:bottom w:val="single" w:color="auto" w:sz="8" w:space="0"/>
              <w:right w:val="single" w:color="auto" w:sz="8" w:space="0"/>
            </w:tcBorders>
            <w:noWrap/>
          </w:tcPr>
          <w:p>
            <w:pPr>
              <w:jc w:val="center"/>
            </w:pPr>
            <w:r>
              <w:rPr>
                <w:rFonts w:hint="eastAsia"/>
              </w:rPr>
              <w:t>6</w:t>
            </w:r>
            <w:r>
              <w:t>6</w:t>
            </w:r>
          </w:p>
        </w:tc>
        <w:tc>
          <w:tcPr>
            <w:tcW w:w="425"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rPr>
              <w:t>中国知网</w:t>
            </w:r>
          </w:p>
        </w:tc>
        <w:tc>
          <w:tcPr>
            <w:tcW w:w="1074" w:type="dxa"/>
            <w:tcBorders>
              <w:top w:val="single" w:color="auto" w:sz="4" w:space="0"/>
              <w:left w:val="single" w:color="auto" w:sz="8" w:space="0"/>
              <w:bottom w:val="single" w:color="auto" w:sz="8" w:space="0"/>
              <w:right w:val="single" w:color="auto" w:sz="8" w:space="0"/>
            </w:tcBorders>
            <w:noWrap/>
          </w:tcPr>
          <w:p>
            <w:pPr>
              <w:spacing w:line="480" w:lineRule="auto"/>
              <w:jc w:val="center"/>
              <w:rPr>
                <w:rFonts w:ascii="宋体" w:cs="宋体"/>
                <w:szCs w:val="21"/>
              </w:rP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426"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4</w:t>
            </w:r>
          </w:p>
        </w:tc>
        <w:tc>
          <w:tcPr>
            <w:tcW w:w="2759"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pPr>
            <w:r>
              <w:t>Epigallocatechin gallate</w:t>
            </w:r>
            <w:r>
              <w:rPr>
                <w:rFonts w:hint="eastAsia"/>
              </w:rPr>
              <w:t xml:space="preserve"> attenuates fibrosis, oxidative </w:t>
            </w:r>
            <w:r>
              <w:t>stress, and inflammation in non-alcoholic fatty liver</w:t>
            </w:r>
            <w:r>
              <w:rPr>
                <w:rFonts w:hint="eastAsia"/>
              </w:rPr>
              <w:t xml:space="preserve"> </w:t>
            </w:r>
            <w:r>
              <w:t>disease rat model through</w:t>
            </w:r>
            <w:r>
              <w:rPr>
                <w:rFonts w:hint="eastAsia"/>
              </w:rPr>
              <w:t xml:space="preserve"> </w:t>
            </w:r>
            <w:r>
              <w:t xml:space="preserve">TGF/SMAD, PI3K/Akt/FoxO1, and NF-kappa B </w:t>
            </w:r>
            <w:r>
              <w:rPr>
                <w:rFonts w:hint="eastAsia"/>
              </w:rPr>
              <w:t>pathways</w:t>
            </w:r>
          </w:p>
        </w:tc>
        <w:tc>
          <w:tcPr>
            <w:tcW w:w="1161"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2</w:t>
            </w:r>
            <w:r>
              <w:rPr>
                <w:rFonts w:ascii="宋体" w:cs="宋体"/>
                <w:szCs w:val="21"/>
              </w:rPr>
              <w:t>014</w:t>
            </w:r>
            <w:r>
              <w:rPr>
                <w:rFonts w:hint="eastAsia" w:ascii="宋体" w:cs="宋体"/>
                <w:szCs w:val="21"/>
              </w:rPr>
              <w:t>年5</w:t>
            </w:r>
            <w:r>
              <w:rPr>
                <w:rFonts w:ascii="宋体" w:cs="宋体"/>
                <w:szCs w:val="21"/>
              </w:rPr>
              <w:t>3</w:t>
            </w:r>
            <w:r>
              <w:rPr>
                <w:rFonts w:hint="eastAsia" w:ascii="宋体" w:cs="宋体"/>
                <w:szCs w:val="21"/>
              </w:rPr>
              <w:t>（1）卷1</w:t>
            </w:r>
            <w:r>
              <w:rPr>
                <w:rFonts w:ascii="宋体" w:cs="宋体"/>
                <w:szCs w:val="21"/>
              </w:rPr>
              <w:t>87-199</w:t>
            </w:r>
            <w:r>
              <w:rPr>
                <w:rFonts w:hint="eastAsia" w:ascii="宋体" w:cs="宋体"/>
                <w:szCs w:val="21"/>
              </w:rPr>
              <w:t>页</w:t>
            </w:r>
          </w:p>
        </w:tc>
        <w:tc>
          <w:tcPr>
            <w:tcW w:w="642"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2</w:t>
            </w:r>
            <w:r>
              <w:rPr>
                <w:rFonts w:ascii="宋体" w:cs="宋体"/>
                <w:szCs w:val="21"/>
              </w:rPr>
              <w:t>014</w:t>
            </w:r>
            <w:r>
              <w:rPr>
                <w:rFonts w:hint="eastAsia" w:ascii="宋体" w:cs="宋体"/>
                <w:szCs w:val="21"/>
              </w:rPr>
              <w:t>年2月2</w:t>
            </w:r>
            <w:r>
              <w:rPr>
                <w:rFonts w:ascii="宋体" w:cs="宋体"/>
                <w:szCs w:val="21"/>
              </w:rPr>
              <w:t>1</w:t>
            </w:r>
            <w:r>
              <w:rPr>
                <w:rFonts w:hint="eastAsia" w:ascii="宋体" w:cs="宋体"/>
                <w:szCs w:val="21"/>
              </w:rPr>
              <w:t>日</w:t>
            </w:r>
          </w:p>
        </w:tc>
        <w:tc>
          <w:tcPr>
            <w:tcW w:w="683"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肖佳</w:t>
            </w:r>
          </w:p>
        </w:tc>
        <w:tc>
          <w:tcPr>
            <w:tcW w:w="661"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pPr>
            <w:r>
              <w:rPr>
                <w:rFonts w:hint="eastAsia"/>
              </w:rPr>
              <w:t>肖佳</w:t>
            </w:r>
          </w:p>
        </w:tc>
        <w:tc>
          <w:tcPr>
            <w:tcW w:w="102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梁东明，</w:t>
            </w:r>
            <w:r>
              <w:rPr>
                <w:rFonts w:ascii="宋体" w:cs="宋体"/>
                <w:szCs w:val="21"/>
              </w:rPr>
              <w:t>冯文龙</w:t>
            </w:r>
          </w:p>
          <w:p>
            <w:pPr>
              <w:spacing w:line="360" w:lineRule="auto"/>
              <w:jc w:val="center"/>
              <w:rPr>
                <w:rFonts w:ascii="宋体" w:cs="宋体"/>
                <w:szCs w:val="21"/>
              </w:rPr>
            </w:pPr>
          </w:p>
        </w:tc>
        <w:tc>
          <w:tcPr>
            <w:tcW w:w="605" w:type="dxa"/>
            <w:tcBorders>
              <w:top w:val="single" w:color="auto" w:sz="4" w:space="0"/>
              <w:left w:val="single" w:color="auto" w:sz="8" w:space="0"/>
              <w:bottom w:val="single" w:color="auto" w:sz="8" w:space="0"/>
              <w:right w:val="single" w:color="auto" w:sz="8" w:space="0"/>
            </w:tcBorders>
            <w:noWrap/>
          </w:tcPr>
          <w:p>
            <w:pPr>
              <w:jc w:val="center"/>
            </w:pPr>
            <w:r>
              <w:rPr>
                <w:rFonts w:hint="eastAsia"/>
              </w:rPr>
              <w:t>1</w:t>
            </w:r>
            <w:r>
              <w:t>83</w:t>
            </w:r>
          </w:p>
        </w:tc>
        <w:tc>
          <w:tcPr>
            <w:tcW w:w="425" w:type="dxa"/>
            <w:tcBorders>
              <w:top w:val="single" w:color="auto" w:sz="4" w:space="0"/>
              <w:left w:val="single" w:color="auto" w:sz="8" w:space="0"/>
              <w:bottom w:val="single" w:color="auto" w:sz="8" w:space="0"/>
              <w:right w:val="single" w:color="auto" w:sz="8" w:space="0"/>
            </w:tcBorders>
            <w:noWrap/>
          </w:tcPr>
          <w:p>
            <w:pPr>
              <w:jc w:val="center"/>
            </w:pPr>
            <w:r>
              <w:rPr>
                <w:rFonts w:hint="eastAsia"/>
              </w:rPr>
              <w:t>SCI</w:t>
            </w:r>
          </w:p>
        </w:tc>
        <w:tc>
          <w:tcPr>
            <w:tcW w:w="1074" w:type="dxa"/>
            <w:tcBorders>
              <w:top w:val="single" w:color="auto" w:sz="4" w:space="0"/>
              <w:left w:val="single" w:color="auto" w:sz="8" w:space="0"/>
              <w:bottom w:val="single" w:color="auto" w:sz="8" w:space="0"/>
              <w:right w:val="single" w:color="auto" w:sz="8" w:space="0"/>
            </w:tcBorders>
            <w:noWrap/>
          </w:tcPr>
          <w:p>
            <w:pPr>
              <w:keepLines/>
              <w:spacing w:line="480" w:lineRule="auto"/>
              <w:jc w:val="center"/>
              <w:rPr>
                <w:rFonts w:ascii="宋体" w:cs="宋体"/>
                <w:szCs w:val="21"/>
              </w:rPr>
            </w:pPr>
            <w:r>
              <w:rPr>
                <w:rFonts w:hint="eastAsia" w:ascii="宋体" w:cs="宋体"/>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7" w:hRule="exact"/>
          <w:jc w:val="center"/>
        </w:trPr>
        <w:tc>
          <w:tcPr>
            <w:tcW w:w="426" w:type="dxa"/>
            <w:tcBorders>
              <w:top w:val="single" w:color="auto" w:sz="4"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5</w:t>
            </w:r>
          </w:p>
        </w:tc>
        <w:tc>
          <w:tcPr>
            <w:tcW w:w="2759" w:type="dxa"/>
            <w:tcBorders>
              <w:top w:val="single" w:color="auto" w:sz="4" w:space="0"/>
              <w:left w:val="single" w:color="auto" w:sz="8" w:space="0"/>
              <w:bottom w:val="single" w:color="auto" w:sz="8" w:space="0"/>
              <w:right w:val="single" w:color="auto" w:sz="8" w:space="0"/>
            </w:tcBorders>
            <w:noWrap/>
          </w:tcPr>
          <w:p>
            <w:pPr>
              <w:spacing w:line="360" w:lineRule="auto"/>
              <w:jc w:val="center"/>
            </w:pPr>
            <w:r>
              <w:t>Lycium barbarum polysaccharide attenuates alcoholic cellular injury through TXNIP-NLRP3 inflammasome pathway</w:t>
            </w:r>
          </w:p>
        </w:tc>
        <w:tc>
          <w:tcPr>
            <w:tcW w:w="116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w:t>
            </w:r>
            <w:r>
              <w:rPr>
                <w:rFonts w:ascii="宋体" w:cs="宋体"/>
                <w:szCs w:val="21"/>
              </w:rPr>
              <w:t>014</w:t>
            </w:r>
            <w:r>
              <w:rPr>
                <w:rFonts w:hint="eastAsia" w:ascii="宋体" w:cs="宋体"/>
                <w:szCs w:val="21"/>
              </w:rPr>
              <w:t>年（8）6</w:t>
            </w:r>
            <w:r>
              <w:rPr>
                <w:rFonts w:ascii="宋体" w:cs="宋体"/>
                <w:szCs w:val="21"/>
              </w:rPr>
              <w:t>9</w:t>
            </w:r>
            <w:r>
              <w:rPr>
                <w:rFonts w:hint="eastAsia" w:ascii="宋体" w:cs="宋体"/>
                <w:szCs w:val="21"/>
              </w:rPr>
              <w:t>卷7</w:t>
            </w:r>
            <w:r>
              <w:rPr>
                <w:rFonts w:ascii="宋体" w:cs="宋体"/>
                <w:szCs w:val="21"/>
              </w:rPr>
              <w:t>3-78</w:t>
            </w:r>
            <w:r>
              <w:rPr>
                <w:rFonts w:hint="eastAsia" w:ascii="宋体" w:cs="宋体"/>
                <w:szCs w:val="21"/>
              </w:rPr>
              <w:t>页</w:t>
            </w:r>
          </w:p>
        </w:tc>
        <w:tc>
          <w:tcPr>
            <w:tcW w:w="64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2</w:t>
            </w:r>
            <w:r>
              <w:rPr>
                <w:rFonts w:ascii="宋体" w:cs="宋体"/>
                <w:szCs w:val="21"/>
              </w:rPr>
              <w:t>014</w:t>
            </w:r>
            <w:r>
              <w:rPr>
                <w:rFonts w:hint="eastAsia" w:ascii="宋体" w:cs="宋体"/>
                <w:szCs w:val="21"/>
              </w:rPr>
              <w:t>年5月2</w:t>
            </w:r>
            <w:r>
              <w:rPr>
                <w:rFonts w:ascii="宋体" w:cs="宋体"/>
                <w:szCs w:val="21"/>
              </w:rPr>
              <w:t>2</w:t>
            </w:r>
            <w:r>
              <w:rPr>
                <w:rFonts w:hint="eastAsia" w:ascii="宋体" w:cs="宋体"/>
                <w:szCs w:val="21"/>
              </w:rPr>
              <w:t>日</w:t>
            </w:r>
          </w:p>
        </w:tc>
        <w:tc>
          <w:tcPr>
            <w:tcW w:w="6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邢飞跃</w:t>
            </w:r>
          </w:p>
        </w:tc>
        <w:tc>
          <w:tcPr>
            <w:tcW w:w="66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肖佳</w:t>
            </w:r>
          </w:p>
        </w:tc>
        <w:tc>
          <w:tcPr>
            <w:tcW w:w="102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r>
              <w:rPr>
                <w:rFonts w:hint="eastAsia" w:ascii="宋体" w:cs="宋体"/>
                <w:szCs w:val="21"/>
              </w:rPr>
              <w:t>朱颖慧，刘映霞，苏国辉</w:t>
            </w:r>
          </w:p>
        </w:tc>
        <w:tc>
          <w:tcPr>
            <w:tcW w:w="605" w:type="dxa"/>
            <w:tcBorders>
              <w:top w:val="single" w:color="auto" w:sz="4" w:space="0"/>
              <w:left w:val="single" w:color="auto" w:sz="8" w:space="0"/>
              <w:bottom w:val="single" w:color="auto" w:sz="8" w:space="0"/>
              <w:right w:val="single" w:color="auto" w:sz="8" w:space="0"/>
            </w:tcBorders>
            <w:noWrap/>
          </w:tcPr>
          <w:p>
            <w:r>
              <w:rPr>
                <w:rFonts w:hint="eastAsia"/>
              </w:rPr>
              <w:t>1</w:t>
            </w:r>
            <w:r>
              <w:t>25</w:t>
            </w:r>
          </w:p>
        </w:tc>
        <w:tc>
          <w:tcPr>
            <w:tcW w:w="425" w:type="dxa"/>
            <w:tcBorders>
              <w:top w:val="single" w:color="auto" w:sz="4" w:space="0"/>
              <w:left w:val="single" w:color="auto" w:sz="8" w:space="0"/>
              <w:bottom w:val="single" w:color="auto" w:sz="8" w:space="0"/>
              <w:right w:val="single" w:color="auto" w:sz="8" w:space="0"/>
            </w:tcBorders>
            <w:noWrap/>
          </w:tcPr>
          <w:p>
            <w:pPr>
              <w:jc w:val="center"/>
            </w:pPr>
            <w:r>
              <w:t>SCI</w:t>
            </w:r>
          </w:p>
        </w:tc>
        <w:tc>
          <w:tcPr>
            <w:tcW w:w="1074" w:type="dxa"/>
            <w:tcBorders>
              <w:top w:val="single" w:color="auto" w:sz="4" w:space="0"/>
              <w:left w:val="single" w:color="auto" w:sz="8" w:space="0"/>
              <w:bottom w:val="single" w:color="auto" w:sz="8" w:space="0"/>
              <w:right w:val="single" w:color="auto" w:sz="8" w:space="0"/>
            </w:tcBorders>
            <w:noWrap/>
          </w:tcPr>
          <w:p>
            <w:pPr>
              <w:spacing w:line="480" w:lineRule="auto"/>
              <w:jc w:val="center"/>
              <w:rPr>
                <w:rFonts w:ascii="宋体" w:cs="宋体"/>
                <w:szCs w:val="21"/>
              </w:rPr>
            </w:pPr>
            <w:r>
              <w:rPr>
                <w:rFonts w:hint="eastAsia" w:ascii="宋体" w:cs="宋体"/>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7360" w:type="dxa"/>
            <w:gridSpan w:val="7"/>
            <w:tcBorders>
              <w:top w:val="single" w:color="auto" w:sz="4" w:space="0"/>
              <w:left w:val="single" w:color="auto" w:sz="8" w:space="0"/>
              <w:bottom w:val="single" w:color="auto" w:sz="8" w:space="0"/>
              <w:right w:val="single" w:color="auto" w:sz="8" w:space="0"/>
            </w:tcBorders>
            <w:noWrap/>
            <w:vAlign w:val="center"/>
          </w:tcPr>
          <w:p>
            <w:pPr>
              <w:adjustRightInd w:val="0"/>
              <w:spacing w:after="50" w:line="320" w:lineRule="exact"/>
              <w:jc w:val="center"/>
              <w:outlineLvl w:val="1"/>
              <w:rPr>
                <w:rFonts w:ascii="宋体" w:hAnsi="宋体" w:eastAsia="等线" w:cs="Times New Roman"/>
                <w:color w:val="000000"/>
                <w:szCs w:val="28"/>
              </w:rPr>
            </w:pPr>
            <w:r>
              <w:rPr>
                <w:rFonts w:hint="eastAsia" w:ascii="宋体" w:cs="宋体"/>
                <w:color w:val="000000"/>
                <w:szCs w:val="28"/>
              </w:rPr>
              <w:t>合  计</w:t>
            </w:r>
          </w:p>
        </w:tc>
        <w:tc>
          <w:tcPr>
            <w:tcW w:w="605" w:type="dxa"/>
            <w:tcBorders>
              <w:top w:val="single" w:color="auto" w:sz="4" w:space="0"/>
              <w:left w:val="single" w:color="auto" w:sz="8" w:space="0"/>
              <w:bottom w:val="single" w:color="auto" w:sz="8" w:space="0"/>
              <w:right w:val="single" w:color="auto" w:sz="8" w:space="0"/>
            </w:tcBorders>
            <w:noWrap/>
          </w:tcPr>
          <w:p>
            <w:pPr>
              <w:adjustRightInd w:val="0"/>
              <w:spacing w:after="50" w:line="320" w:lineRule="exact"/>
              <w:jc w:val="center"/>
              <w:outlineLvl w:val="1"/>
              <w:rPr>
                <w:rFonts w:ascii="宋体" w:hAnsi="宋体" w:eastAsia="等线" w:cs="Times New Roman"/>
                <w:color w:val="000000"/>
                <w:szCs w:val="28"/>
              </w:rPr>
            </w:pPr>
            <w:r>
              <w:rPr>
                <w:rFonts w:hint="eastAsia" w:ascii="宋体" w:hAnsi="宋体" w:eastAsia="等线" w:cs="Times New Roman"/>
                <w:color w:val="000000"/>
                <w:szCs w:val="28"/>
              </w:rPr>
              <w:t>4</w:t>
            </w:r>
            <w:r>
              <w:rPr>
                <w:rFonts w:ascii="宋体" w:hAnsi="宋体" w:eastAsia="等线" w:cs="Times New Roman"/>
                <w:color w:val="000000"/>
                <w:szCs w:val="28"/>
              </w:rPr>
              <w:t>00</w:t>
            </w:r>
          </w:p>
        </w:tc>
        <w:tc>
          <w:tcPr>
            <w:tcW w:w="425" w:type="dxa"/>
            <w:tcBorders>
              <w:top w:val="single" w:color="auto" w:sz="4" w:space="0"/>
              <w:left w:val="single" w:color="auto" w:sz="8" w:space="0"/>
              <w:bottom w:val="single" w:color="auto" w:sz="8" w:space="0"/>
              <w:right w:val="single" w:color="auto" w:sz="8" w:space="0"/>
            </w:tcBorders>
            <w:noWrap/>
          </w:tcPr>
          <w:p>
            <w:pPr>
              <w:adjustRightInd w:val="0"/>
              <w:spacing w:after="50" w:line="320" w:lineRule="exact"/>
              <w:jc w:val="center"/>
              <w:outlineLvl w:val="1"/>
              <w:rPr>
                <w:rFonts w:ascii="宋体" w:hAnsi="宋体" w:eastAsia="等线" w:cs="Times New Roman"/>
                <w:color w:val="000000"/>
                <w:szCs w:val="28"/>
              </w:rPr>
            </w:pPr>
            <w:r>
              <w:t>SCI</w:t>
            </w:r>
            <w:r>
              <w:rPr>
                <w:rFonts w:hint="eastAsia"/>
              </w:rPr>
              <w:t>，中国知网</w:t>
            </w:r>
          </w:p>
        </w:tc>
        <w:tc>
          <w:tcPr>
            <w:tcW w:w="1074" w:type="dxa"/>
            <w:tcBorders>
              <w:top w:val="single" w:color="auto" w:sz="4" w:space="0"/>
              <w:left w:val="single" w:color="auto" w:sz="8" w:space="0"/>
              <w:bottom w:val="single" w:color="auto" w:sz="8" w:space="0"/>
              <w:right w:val="single" w:color="auto" w:sz="8" w:space="0"/>
            </w:tcBorders>
            <w:noWrap/>
          </w:tcPr>
          <w:p>
            <w:pPr>
              <w:adjustRightInd w:val="0"/>
              <w:spacing w:after="50" w:line="320" w:lineRule="exact"/>
              <w:jc w:val="center"/>
              <w:outlineLvl w:val="1"/>
              <w:rPr>
                <w:rFonts w:ascii="宋体" w:hAnsi="宋体" w:eastAsia="等线" w:cs="Times New Roman"/>
                <w:color w:val="000000"/>
                <w:szCs w:val="28"/>
              </w:rPr>
            </w:pPr>
            <w:r>
              <w:rPr>
                <w:rFonts w:hint="eastAsia" w:ascii="宋体" w:hAnsi="宋体" w:eastAsia="等线" w:cs="Times New Roman"/>
                <w:color w:val="000000"/>
                <w:szCs w:val="28"/>
              </w:rPr>
              <w:t>/</w:t>
            </w:r>
          </w:p>
        </w:tc>
      </w:tr>
    </w:tbl>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9" w:usb3="00000000" w:csb0="000401FF" w:csb1="00000000"/>
  </w:font>
  <w:font w:name="方正小标宋简体">
    <w:altName w:val="方正舒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244355"/>
      <w:docPartList>
        <w:docPartGallery w:val="Quick Parts"/>
      </w:docPartList>
    </w:sdtPr>
    <w:sdtContent>
      <w:p>
        <w:pPr>
          <w:pStyle w:val="7"/>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3YmI4Y2IzNTc1ZGRiNzY3NTlmMjZlZmYyMzNkMDIifQ=="/>
  </w:docVars>
  <w:rsids>
    <w:rsidRoot w:val="00B122E3"/>
    <w:rsid w:val="00003F47"/>
    <w:rsid w:val="000130B2"/>
    <w:rsid w:val="000138DB"/>
    <w:rsid w:val="00015A79"/>
    <w:rsid w:val="000212D9"/>
    <w:rsid w:val="00027F0D"/>
    <w:rsid w:val="000327F3"/>
    <w:rsid w:val="00036482"/>
    <w:rsid w:val="000405DC"/>
    <w:rsid w:val="00042355"/>
    <w:rsid w:val="000441DA"/>
    <w:rsid w:val="00053474"/>
    <w:rsid w:val="00070D47"/>
    <w:rsid w:val="00071D1F"/>
    <w:rsid w:val="000734C7"/>
    <w:rsid w:val="00077FB5"/>
    <w:rsid w:val="00093CFF"/>
    <w:rsid w:val="000B1AE5"/>
    <w:rsid w:val="000B203F"/>
    <w:rsid w:val="000C2AAE"/>
    <w:rsid w:val="000C349E"/>
    <w:rsid w:val="000C37FF"/>
    <w:rsid w:val="000C7A07"/>
    <w:rsid w:val="000D2721"/>
    <w:rsid w:val="000F4E8F"/>
    <w:rsid w:val="000F5AA9"/>
    <w:rsid w:val="00102B9E"/>
    <w:rsid w:val="00120085"/>
    <w:rsid w:val="001205AF"/>
    <w:rsid w:val="001305FD"/>
    <w:rsid w:val="00137B86"/>
    <w:rsid w:val="00141F20"/>
    <w:rsid w:val="00152A3C"/>
    <w:rsid w:val="00152A53"/>
    <w:rsid w:val="00155037"/>
    <w:rsid w:val="00162E8B"/>
    <w:rsid w:val="00166F59"/>
    <w:rsid w:val="00167719"/>
    <w:rsid w:val="00175EF2"/>
    <w:rsid w:val="00176EF2"/>
    <w:rsid w:val="001864D3"/>
    <w:rsid w:val="0019272D"/>
    <w:rsid w:val="00192B99"/>
    <w:rsid w:val="00193BD5"/>
    <w:rsid w:val="001959AF"/>
    <w:rsid w:val="001A0A9F"/>
    <w:rsid w:val="001B0C6E"/>
    <w:rsid w:val="001C05AB"/>
    <w:rsid w:val="001C0F9B"/>
    <w:rsid w:val="001D3EE6"/>
    <w:rsid w:val="001D5673"/>
    <w:rsid w:val="001E34F9"/>
    <w:rsid w:val="001F5E97"/>
    <w:rsid w:val="00212A3B"/>
    <w:rsid w:val="0021495E"/>
    <w:rsid w:val="00216D0F"/>
    <w:rsid w:val="002276BE"/>
    <w:rsid w:val="002561EC"/>
    <w:rsid w:val="00261FF3"/>
    <w:rsid w:val="002637B8"/>
    <w:rsid w:val="0027547C"/>
    <w:rsid w:val="002776C7"/>
    <w:rsid w:val="002A133B"/>
    <w:rsid w:val="002D195B"/>
    <w:rsid w:val="002F06CF"/>
    <w:rsid w:val="002F7232"/>
    <w:rsid w:val="00301132"/>
    <w:rsid w:val="003013FC"/>
    <w:rsid w:val="0030366F"/>
    <w:rsid w:val="00321455"/>
    <w:rsid w:val="003238ED"/>
    <w:rsid w:val="0032753C"/>
    <w:rsid w:val="003320F2"/>
    <w:rsid w:val="00335886"/>
    <w:rsid w:val="0034356B"/>
    <w:rsid w:val="00344A1C"/>
    <w:rsid w:val="003702AB"/>
    <w:rsid w:val="00374B35"/>
    <w:rsid w:val="00375ECC"/>
    <w:rsid w:val="00382EFD"/>
    <w:rsid w:val="003A1B05"/>
    <w:rsid w:val="003A46CF"/>
    <w:rsid w:val="003B54F2"/>
    <w:rsid w:val="003D6A43"/>
    <w:rsid w:val="003F623B"/>
    <w:rsid w:val="003F6660"/>
    <w:rsid w:val="00401B8C"/>
    <w:rsid w:val="00413F20"/>
    <w:rsid w:val="00414F4D"/>
    <w:rsid w:val="00431D58"/>
    <w:rsid w:val="00436397"/>
    <w:rsid w:val="00447B8C"/>
    <w:rsid w:val="00486A77"/>
    <w:rsid w:val="00491346"/>
    <w:rsid w:val="004966DD"/>
    <w:rsid w:val="00496E5D"/>
    <w:rsid w:val="004A0553"/>
    <w:rsid w:val="004A191D"/>
    <w:rsid w:val="004A5610"/>
    <w:rsid w:val="004B663E"/>
    <w:rsid w:val="004C615E"/>
    <w:rsid w:val="004D77F2"/>
    <w:rsid w:val="004E5006"/>
    <w:rsid w:val="005010EF"/>
    <w:rsid w:val="005037E9"/>
    <w:rsid w:val="00506F74"/>
    <w:rsid w:val="00513A94"/>
    <w:rsid w:val="00514B11"/>
    <w:rsid w:val="0052388C"/>
    <w:rsid w:val="0053204B"/>
    <w:rsid w:val="00536DDB"/>
    <w:rsid w:val="00541F68"/>
    <w:rsid w:val="00544335"/>
    <w:rsid w:val="00545BDD"/>
    <w:rsid w:val="0054643B"/>
    <w:rsid w:val="0057416C"/>
    <w:rsid w:val="00582497"/>
    <w:rsid w:val="00585B95"/>
    <w:rsid w:val="00586817"/>
    <w:rsid w:val="005A4C8E"/>
    <w:rsid w:val="005A6527"/>
    <w:rsid w:val="005C466F"/>
    <w:rsid w:val="005D4A61"/>
    <w:rsid w:val="005E51AF"/>
    <w:rsid w:val="005E7388"/>
    <w:rsid w:val="005F2445"/>
    <w:rsid w:val="0060009A"/>
    <w:rsid w:val="006018A0"/>
    <w:rsid w:val="00603712"/>
    <w:rsid w:val="0060476E"/>
    <w:rsid w:val="00612DA0"/>
    <w:rsid w:val="00637B9A"/>
    <w:rsid w:val="00650514"/>
    <w:rsid w:val="006552A3"/>
    <w:rsid w:val="00657388"/>
    <w:rsid w:val="00686993"/>
    <w:rsid w:val="00687296"/>
    <w:rsid w:val="00694D8F"/>
    <w:rsid w:val="006951F7"/>
    <w:rsid w:val="006B5F9F"/>
    <w:rsid w:val="006C59C9"/>
    <w:rsid w:val="006D28B9"/>
    <w:rsid w:val="006D332F"/>
    <w:rsid w:val="006D5FF6"/>
    <w:rsid w:val="006F486C"/>
    <w:rsid w:val="007176C1"/>
    <w:rsid w:val="00717AAF"/>
    <w:rsid w:val="0072529F"/>
    <w:rsid w:val="0074655C"/>
    <w:rsid w:val="007555E9"/>
    <w:rsid w:val="00764565"/>
    <w:rsid w:val="00764F24"/>
    <w:rsid w:val="00767678"/>
    <w:rsid w:val="0078007E"/>
    <w:rsid w:val="007838F4"/>
    <w:rsid w:val="0079753E"/>
    <w:rsid w:val="007975BE"/>
    <w:rsid w:val="007B6268"/>
    <w:rsid w:val="007C1DF2"/>
    <w:rsid w:val="007C225F"/>
    <w:rsid w:val="007C294D"/>
    <w:rsid w:val="007C2BA4"/>
    <w:rsid w:val="007D3416"/>
    <w:rsid w:val="007E4622"/>
    <w:rsid w:val="007F0C26"/>
    <w:rsid w:val="007F0D0C"/>
    <w:rsid w:val="007F0FA0"/>
    <w:rsid w:val="007F340A"/>
    <w:rsid w:val="008003F9"/>
    <w:rsid w:val="00805F8C"/>
    <w:rsid w:val="00816FA2"/>
    <w:rsid w:val="008214CF"/>
    <w:rsid w:val="00824FB6"/>
    <w:rsid w:val="008510B6"/>
    <w:rsid w:val="00867E23"/>
    <w:rsid w:val="0087350D"/>
    <w:rsid w:val="00887C99"/>
    <w:rsid w:val="00890596"/>
    <w:rsid w:val="008912F8"/>
    <w:rsid w:val="0089406D"/>
    <w:rsid w:val="008965AD"/>
    <w:rsid w:val="008A7CE6"/>
    <w:rsid w:val="008B1387"/>
    <w:rsid w:val="008B6320"/>
    <w:rsid w:val="008D4F39"/>
    <w:rsid w:val="008D7DA4"/>
    <w:rsid w:val="008E26BA"/>
    <w:rsid w:val="008E7CA6"/>
    <w:rsid w:val="00905398"/>
    <w:rsid w:val="00905A43"/>
    <w:rsid w:val="009145A3"/>
    <w:rsid w:val="00916837"/>
    <w:rsid w:val="00920A50"/>
    <w:rsid w:val="0093327F"/>
    <w:rsid w:val="0093436F"/>
    <w:rsid w:val="0096372C"/>
    <w:rsid w:val="00965650"/>
    <w:rsid w:val="00993E4A"/>
    <w:rsid w:val="0099428A"/>
    <w:rsid w:val="009A4B18"/>
    <w:rsid w:val="009A5631"/>
    <w:rsid w:val="009B58E6"/>
    <w:rsid w:val="009C1AD9"/>
    <w:rsid w:val="009C4FE1"/>
    <w:rsid w:val="009C5129"/>
    <w:rsid w:val="009D24E8"/>
    <w:rsid w:val="009D6432"/>
    <w:rsid w:val="009E1E3B"/>
    <w:rsid w:val="009E657C"/>
    <w:rsid w:val="00A00F47"/>
    <w:rsid w:val="00A02EC2"/>
    <w:rsid w:val="00A0795E"/>
    <w:rsid w:val="00A21B2A"/>
    <w:rsid w:val="00A31C20"/>
    <w:rsid w:val="00A333E2"/>
    <w:rsid w:val="00A40B82"/>
    <w:rsid w:val="00A4601C"/>
    <w:rsid w:val="00A477B4"/>
    <w:rsid w:val="00A50056"/>
    <w:rsid w:val="00A50097"/>
    <w:rsid w:val="00A568FB"/>
    <w:rsid w:val="00A57A35"/>
    <w:rsid w:val="00A6312E"/>
    <w:rsid w:val="00A64ABE"/>
    <w:rsid w:val="00A6696D"/>
    <w:rsid w:val="00A97E76"/>
    <w:rsid w:val="00AA2361"/>
    <w:rsid w:val="00AB3EF0"/>
    <w:rsid w:val="00AB502C"/>
    <w:rsid w:val="00AB5141"/>
    <w:rsid w:val="00AB7EBB"/>
    <w:rsid w:val="00AC4B21"/>
    <w:rsid w:val="00AC7DB1"/>
    <w:rsid w:val="00AD04E1"/>
    <w:rsid w:val="00AD1114"/>
    <w:rsid w:val="00AD14A8"/>
    <w:rsid w:val="00AD5F34"/>
    <w:rsid w:val="00AE23B4"/>
    <w:rsid w:val="00AF4755"/>
    <w:rsid w:val="00AF6836"/>
    <w:rsid w:val="00AF6CDF"/>
    <w:rsid w:val="00B122E3"/>
    <w:rsid w:val="00B129CE"/>
    <w:rsid w:val="00B22D7E"/>
    <w:rsid w:val="00B27F5F"/>
    <w:rsid w:val="00B30DF3"/>
    <w:rsid w:val="00B32729"/>
    <w:rsid w:val="00B40F68"/>
    <w:rsid w:val="00B50C21"/>
    <w:rsid w:val="00B520C1"/>
    <w:rsid w:val="00B528E4"/>
    <w:rsid w:val="00B555E7"/>
    <w:rsid w:val="00B600B0"/>
    <w:rsid w:val="00B7141B"/>
    <w:rsid w:val="00B73F5E"/>
    <w:rsid w:val="00B85134"/>
    <w:rsid w:val="00B941E9"/>
    <w:rsid w:val="00B943C5"/>
    <w:rsid w:val="00B95C4E"/>
    <w:rsid w:val="00BA1AA1"/>
    <w:rsid w:val="00BA250E"/>
    <w:rsid w:val="00BA32AF"/>
    <w:rsid w:val="00BB5A7F"/>
    <w:rsid w:val="00BD0BEB"/>
    <w:rsid w:val="00BD2381"/>
    <w:rsid w:val="00BE6205"/>
    <w:rsid w:val="00BE6434"/>
    <w:rsid w:val="00BF1C4F"/>
    <w:rsid w:val="00BF2717"/>
    <w:rsid w:val="00BF74C3"/>
    <w:rsid w:val="00C03DBF"/>
    <w:rsid w:val="00C072E1"/>
    <w:rsid w:val="00C30EE1"/>
    <w:rsid w:val="00C318C6"/>
    <w:rsid w:val="00C40D95"/>
    <w:rsid w:val="00C4334A"/>
    <w:rsid w:val="00C658DE"/>
    <w:rsid w:val="00C717C4"/>
    <w:rsid w:val="00C72756"/>
    <w:rsid w:val="00C749ED"/>
    <w:rsid w:val="00C8170A"/>
    <w:rsid w:val="00C81848"/>
    <w:rsid w:val="00C94823"/>
    <w:rsid w:val="00C9718D"/>
    <w:rsid w:val="00CB0E40"/>
    <w:rsid w:val="00CB47A9"/>
    <w:rsid w:val="00CC33A2"/>
    <w:rsid w:val="00CC59DE"/>
    <w:rsid w:val="00CE05B5"/>
    <w:rsid w:val="00CE0605"/>
    <w:rsid w:val="00D03751"/>
    <w:rsid w:val="00D1194B"/>
    <w:rsid w:val="00D266EC"/>
    <w:rsid w:val="00D2706D"/>
    <w:rsid w:val="00D374C6"/>
    <w:rsid w:val="00D446F0"/>
    <w:rsid w:val="00D86DEF"/>
    <w:rsid w:val="00DB54EB"/>
    <w:rsid w:val="00DD697B"/>
    <w:rsid w:val="00DE452D"/>
    <w:rsid w:val="00DE5BCD"/>
    <w:rsid w:val="00DE6926"/>
    <w:rsid w:val="00DF507D"/>
    <w:rsid w:val="00DF7025"/>
    <w:rsid w:val="00DF7BB9"/>
    <w:rsid w:val="00E05FF4"/>
    <w:rsid w:val="00E066E8"/>
    <w:rsid w:val="00E12BA2"/>
    <w:rsid w:val="00E20C37"/>
    <w:rsid w:val="00E2324C"/>
    <w:rsid w:val="00E271C2"/>
    <w:rsid w:val="00E33FA1"/>
    <w:rsid w:val="00E34BB7"/>
    <w:rsid w:val="00E36A14"/>
    <w:rsid w:val="00E400F7"/>
    <w:rsid w:val="00E4368B"/>
    <w:rsid w:val="00E5500F"/>
    <w:rsid w:val="00E554DA"/>
    <w:rsid w:val="00E602E0"/>
    <w:rsid w:val="00E60450"/>
    <w:rsid w:val="00E6709F"/>
    <w:rsid w:val="00E755F1"/>
    <w:rsid w:val="00E81418"/>
    <w:rsid w:val="00E83254"/>
    <w:rsid w:val="00E879C7"/>
    <w:rsid w:val="00EF084A"/>
    <w:rsid w:val="00EF5524"/>
    <w:rsid w:val="00EF71FE"/>
    <w:rsid w:val="00F03684"/>
    <w:rsid w:val="00F1746E"/>
    <w:rsid w:val="00F21BAA"/>
    <w:rsid w:val="00F244D8"/>
    <w:rsid w:val="00F25165"/>
    <w:rsid w:val="00F31398"/>
    <w:rsid w:val="00F471F5"/>
    <w:rsid w:val="00F535FC"/>
    <w:rsid w:val="00F55156"/>
    <w:rsid w:val="00F57669"/>
    <w:rsid w:val="00F71F49"/>
    <w:rsid w:val="00F9534B"/>
    <w:rsid w:val="00F95E82"/>
    <w:rsid w:val="00FA37DD"/>
    <w:rsid w:val="00FD44E4"/>
    <w:rsid w:val="00FE31CB"/>
    <w:rsid w:val="21A516FB"/>
    <w:rsid w:val="3FDB552D"/>
    <w:rsid w:val="449E79CA"/>
    <w:rsid w:val="54E04B09"/>
    <w:rsid w:val="638F4022"/>
    <w:rsid w:val="709248EE"/>
    <w:rsid w:val="DD77AC19"/>
    <w:rsid w:val="EF7F8B52"/>
    <w:rsid w:val="F93DE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5"/>
    <w:qFormat/>
    <w:uiPriority w:val="0"/>
    <w:pPr>
      <w:jc w:val="left"/>
    </w:pPr>
  </w:style>
  <w:style w:type="paragraph" w:styleId="6">
    <w:name w:val="Plain Text"/>
    <w:basedOn w:val="1"/>
    <w:qFormat/>
    <w:uiPriority w:val="0"/>
    <w:pPr>
      <w:spacing w:line="360" w:lineRule="auto"/>
      <w:ind w:firstLine="200" w:firstLineChars="200"/>
    </w:pPr>
    <w:rPr>
      <w:rFonts w:ascii="仿宋_GB2312" w:hAnsi="仿宋_GB2312" w:cs="Times New Roman"/>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6"/>
    <w:qFormat/>
    <w:uiPriority w:val="0"/>
    <w:rPr>
      <w:b/>
      <w:bCs/>
    </w:rPr>
  </w:style>
  <w:style w:type="character" w:styleId="12">
    <w:name w:val="annotation reference"/>
    <w:basedOn w:val="11"/>
    <w:qFormat/>
    <w:uiPriority w:val="0"/>
    <w:rPr>
      <w:sz w:val="21"/>
      <w:szCs w:val="21"/>
    </w:rPr>
  </w:style>
  <w:style w:type="paragraph" w:customStyle="1" w:styleId="13">
    <w:name w:val="_Style 8"/>
    <w:next w:val="1"/>
    <w:qFormat/>
    <w:uiPriority w:val="0"/>
    <w:pPr>
      <w:widowControl w:val="0"/>
      <w:spacing w:line="360" w:lineRule="auto"/>
      <w:ind w:firstLine="200" w:firstLineChars="200"/>
      <w:jc w:val="both"/>
    </w:pPr>
    <w:rPr>
      <w:rFonts w:ascii="仿宋_GB2312" w:hAnsi="仿宋_GB2312" w:eastAsia="宋体" w:cs="Times New Roman"/>
      <w:kern w:val="2"/>
      <w:sz w:val="24"/>
      <w:lang w:val="en-US" w:eastAsia="zh-CN" w:bidi="ar-SA"/>
    </w:rPr>
  </w:style>
  <w:style w:type="character" w:customStyle="1" w:styleId="14">
    <w:name w:val="15"/>
    <w:basedOn w:val="11"/>
    <w:qFormat/>
    <w:uiPriority w:val="0"/>
    <w:rPr>
      <w:rFonts w:hint="default" w:ascii="Times New Roman" w:hAnsi="Times New Roman" w:cs="Times New Roman"/>
    </w:rPr>
  </w:style>
  <w:style w:type="character" w:customStyle="1" w:styleId="15">
    <w:name w:val="批注文字 字符"/>
    <w:basedOn w:val="11"/>
    <w:link w:val="5"/>
    <w:qFormat/>
    <w:uiPriority w:val="0"/>
    <w:rPr>
      <w:rFonts w:ascii="Calibri" w:hAnsi="Calibri" w:cs="Arial"/>
      <w:kern w:val="2"/>
      <w:sz w:val="21"/>
      <w:szCs w:val="22"/>
    </w:rPr>
  </w:style>
  <w:style w:type="character" w:customStyle="1" w:styleId="16">
    <w:name w:val="批注主题 字符"/>
    <w:basedOn w:val="15"/>
    <w:link w:val="9"/>
    <w:qFormat/>
    <w:uiPriority w:val="0"/>
    <w:rPr>
      <w:rFonts w:ascii="Calibri" w:hAnsi="Calibri" w:cs="Arial"/>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WRGHO.COM</Company>
  <Pages>8</Pages>
  <Words>3289</Words>
  <Characters>4137</Characters>
  <Lines>32</Lines>
  <Paragraphs>9</Paragraphs>
  <TotalTime>29</TotalTime>
  <ScaleCrop>false</ScaleCrop>
  <LinksUpToDate>false</LinksUpToDate>
  <CharactersWithSpaces>4364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2023-06-06T08:57:00Z</dcterms:created>
  <dc:creator>WRGHO</dc:creator>
  <cp:lastModifiedBy>香槟</cp:lastModifiedBy>
  <dcterms:modified xsi:type="dcterms:W3CDTF">2023-06-07T02:51:15Z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F96B193F496E403F82E3EE427CA0CA94_13</vt:lpwstr>
  </property>
</Properties>
</file>