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eastAsia="方正小标宋简体"/>
          <w:b/>
          <w:bCs/>
          <w:spacing w:val="-14"/>
          <w:w w:val="85"/>
          <w:sz w:val="44"/>
          <w:szCs w:val="44"/>
        </w:rPr>
      </w:pPr>
      <w:bookmarkStart w:id="0" w:name="_GoBack"/>
      <w:bookmarkEnd w:id="0"/>
      <w:r>
        <w:rPr>
          <w:rFonts w:hint="eastAsia" w:ascii="方正小标宋简体" w:eastAsia="方正小标宋简体"/>
          <w:b/>
          <w:bCs/>
          <w:spacing w:val="-14"/>
          <w:w w:val="85"/>
          <w:sz w:val="44"/>
          <w:szCs w:val="44"/>
        </w:rPr>
        <w:t>南充市202</w:t>
      </w:r>
      <w:r>
        <w:rPr>
          <w:rFonts w:ascii="方正小标宋简体" w:eastAsia="方正小标宋简体"/>
          <w:b/>
          <w:bCs/>
          <w:spacing w:val="-14"/>
          <w:w w:val="85"/>
          <w:sz w:val="44"/>
          <w:szCs w:val="44"/>
        </w:rPr>
        <w:t>3</w:t>
      </w:r>
      <w:r>
        <w:rPr>
          <w:rFonts w:hint="eastAsia" w:ascii="方正小标宋简体" w:eastAsia="方正小标宋简体"/>
          <w:b/>
          <w:bCs/>
          <w:spacing w:val="-14"/>
          <w:w w:val="85"/>
          <w:sz w:val="44"/>
          <w:szCs w:val="44"/>
        </w:rPr>
        <w:t>年度四川省科学技术奖提名公示情况表</w:t>
      </w:r>
    </w:p>
    <w:p>
      <w:pPr>
        <w:spacing w:line="700" w:lineRule="exact"/>
        <w:jc w:val="center"/>
        <w:rPr>
          <w:rFonts w:ascii="方正小标宋简体" w:eastAsia="方正小标宋简体"/>
          <w:b/>
          <w:bCs/>
          <w:spacing w:val="-14"/>
          <w:w w:val="85"/>
          <w:sz w:val="44"/>
          <w:szCs w:val="44"/>
        </w:rPr>
      </w:pPr>
      <w:r>
        <w:rPr>
          <w:rFonts w:hint="eastAsia" w:ascii="方正小标宋简体" w:eastAsia="方正小标宋简体"/>
          <w:b/>
          <w:bCs/>
          <w:spacing w:val="-14"/>
          <w:w w:val="85"/>
          <w:sz w:val="44"/>
          <w:szCs w:val="44"/>
        </w:rPr>
        <w:t>（科技进步奖）</w:t>
      </w:r>
    </w:p>
    <w:p>
      <w:pPr>
        <w:spacing w:line="360" w:lineRule="auto"/>
        <w:jc w:val="center"/>
        <w:outlineLvl w:val="1"/>
        <w:rPr>
          <w:rFonts w:ascii="宋体" w:cs="Times New Roman"/>
          <w:b/>
          <w:color w:val="000000"/>
          <w:kern w:val="0"/>
          <w:sz w:val="28"/>
        </w:rPr>
      </w:pPr>
    </w:p>
    <w:p>
      <w:pPr>
        <w:spacing w:line="360" w:lineRule="auto"/>
        <w:jc w:val="center"/>
        <w:outlineLvl w:val="1"/>
        <w:rPr>
          <w:rFonts w:ascii="方正小标宋简体" w:eastAsia="方正小标宋简体"/>
          <w:spacing w:val="-14"/>
          <w:w w:val="85"/>
          <w:sz w:val="44"/>
          <w:szCs w:val="44"/>
        </w:rPr>
      </w:pPr>
      <w:r>
        <w:rPr>
          <w:rFonts w:hint="eastAsia" w:ascii="宋体" w:cs="Times New Roman"/>
          <w:b/>
          <w:color w:val="000000"/>
          <w:kern w:val="0"/>
          <w:sz w:val="28"/>
        </w:rPr>
        <w:t>一、项目基本情况</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09"/>
        <w:gridCol w:w="7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1609" w:type="dxa"/>
            <w:tcBorders>
              <w:top w:val="single" w:color="000000" w:sz="4" w:space="0"/>
              <w:left w:val="single" w:color="000000" w:sz="4" w:space="0"/>
              <w:bottom w:val="single" w:color="000000" w:sz="4" w:space="0"/>
              <w:right w:val="single" w:color="000000" w:sz="4" w:space="0"/>
            </w:tcBorders>
            <w:noWrap/>
            <w:vAlign w:val="center"/>
          </w:tcPr>
          <w:p>
            <w:pPr>
              <w:spacing w:line="390" w:lineRule="exact"/>
              <w:jc w:val="center"/>
              <w:rPr>
                <w:rFonts w:ascii="宋体" w:cs="Times New Roman"/>
                <w:color w:val="000000"/>
              </w:rPr>
            </w:pPr>
            <w:r>
              <w:rPr>
                <w:rFonts w:hint="eastAsia" w:ascii="宋体" w:cs="Times New Roman"/>
                <w:color w:val="000000"/>
              </w:rPr>
              <w:t>项目名称</w:t>
            </w:r>
          </w:p>
        </w:tc>
        <w:tc>
          <w:tcPr>
            <w:tcW w:w="736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ascii="宋体" w:cs="Times New Roman"/>
                <w:color w:val="000000"/>
              </w:rPr>
            </w:pPr>
            <w:r>
              <w:rPr>
                <w:rFonts w:hint="eastAsia" w:ascii="宋体"/>
                <w:color w:val="000000"/>
              </w:rPr>
              <w:t>慢性心力衰竭综合防治的基础和临床研究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1609" w:type="dxa"/>
            <w:tcBorders>
              <w:top w:val="single" w:color="000000" w:sz="4" w:space="0"/>
              <w:left w:val="single" w:color="000000" w:sz="4" w:space="0"/>
              <w:bottom w:val="single" w:color="000000" w:sz="4" w:space="0"/>
              <w:right w:val="single" w:color="000000" w:sz="4" w:space="0"/>
            </w:tcBorders>
            <w:noWrap/>
            <w:vAlign w:val="center"/>
          </w:tcPr>
          <w:p>
            <w:pPr>
              <w:spacing w:line="390" w:lineRule="exact"/>
              <w:jc w:val="center"/>
              <w:rPr>
                <w:rFonts w:ascii="宋体" w:cs="Times New Roman"/>
                <w:color w:val="000000"/>
              </w:rPr>
            </w:pPr>
            <w:r>
              <w:rPr>
                <w:rFonts w:hint="eastAsia" w:ascii="宋体" w:cs="Times New Roman"/>
                <w:color w:val="000000"/>
              </w:rPr>
              <w:t>主要完成单位</w:t>
            </w:r>
          </w:p>
        </w:tc>
        <w:tc>
          <w:tcPr>
            <w:tcW w:w="736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ascii="宋体" w:cs="Times New Roman"/>
                <w:color w:val="000000"/>
              </w:rPr>
            </w:pPr>
            <w:r>
              <w:rPr>
                <w:rFonts w:hint="eastAsia" w:ascii="宋体"/>
                <w:color w:val="000000"/>
              </w:rPr>
              <w:t>川北医学院附属医院、中山大学附属第五医院、广西壮族自治区人民医院、南充市中心医院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1609" w:type="dxa"/>
            <w:tcBorders>
              <w:top w:val="single" w:color="000000" w:sz="4" w:space="0"/>
              <w:left w:val="single" w:color="000000" w:sz="4" w:space="0"/>
              <w:bottom w:val="single" w:color="000000" w:sz="4" w:space="0"/>
              <w:right w:val="single" w:color="000000" w:sz="4" w:space="0"/>
            </w:tcBorders>
            <w:noWrap/>
            <w:vAlign w:val="center"/>
          </w:tcPr>
          <w:p>
            <w:pPr>
              <w:spacing w:line="390" w:lineRule="exact"/>
              <w:jc w:val="center"/>
              <w:rPr>
                <w:rFonts w:ascii="宋体" w:cs="Times New Roman"/>
                <w:color w:val="000000"/>
              </w:rPr>
            </w:pPr>
            <w:r>
              <w:rPr>
                <w:rFonts w:hint="eastAsia" w:ascii="宋体" w:cs="Times New Roman"/>
                <w:color w:val="000000"/>
              </w:rPr>
              <w:t>主要完成人</w:t>
            </w:r>
          </w:p>
        </w:tc>
        <w:tc>
          <w:tcPr>
            <w:tcW w:w="736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ascii="宋体"/>
                <w:color w:val="000000"/>
              </w:rPr>
            </w:pPr>
            <w:r>
              <w:rPr>
                <w:rFonts w:hint="eastAsia" w:ascii="宋体"/>
                <w:color w:val="000000"/>
              </w:rPr>
              <w:t>杨颖、刘茂、罗晖、吕湛、陈剑、吉庆伟、冯杰、张荣驿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1" w:hRule="atLeast"/>
        </w:trPr>
        <w:tc>
          <w:tcPr>
            <w:tcW w:w="1609" w:type="dxa"/>
            <w:tcBorders>
              <w:top w:val="single" w:color="auto" w:sz="4" w:space="0"/>
              <w:left w:val="single" w:color="000000" w:sz="4" w:space="0"/>
              <w:bottom w:val="single" w:color="000000" w:sz="4" w:space="0"/>
              <w:right w:val="single" w:color="000000" w:sz="4" w:space="0"/>
            </w:tcBorders>
            <w:noWrap/>
            <w:vAlign w:val="center"/>
          </w:tcPr>
          <w:p>
            <w:pPr>
              <w:spacing w:line="390" w:lineRule="exact"/>
              <w:jc w:val="center"/>
              <w:rPr>
                <w:rFonts w:ascii="宋体" w:cs="Times New Roman"/>
                <w:color w:val="000000"/>
              </w:rPr>
            </w:pPr>
            <w:r>
              <w:rPr>
                <w:rFonts w:hint="eastAsia" w:ascii="宋体" w:cs="Times New Roman"/>
                <w:color w:val="000000"/>
              </w:rPr>
              <w:t>项目简介</w:t>
            </w:r>
          </w:p>
        </w:tc>
        <w:tc>
          <w:tcPr>
            <w:tcW w:w="7360" w:type="dxa"/>
            <w:tcBorders>
              <w:top w:val="single" w:color="auto" w:sz="4" w:space="0"/>
              <w:left w:val="single" w:color="000000" w:sz="4" w:space="0"/>
              <w:bottom w:val="single" w:color="000000" w:sz="4" w:space="0"/>
              <w:right w:val="single" w:color="000000" w:sz="4" w:space="0"/>
            </w:tcBorders>
            <w:noWrap/>
          </w:tcPr>
          <w:p>
            <w:pPr>
              <w:pStyle w:val="5"/>
              <w:ind w:firstLine="420"/>
              <w:rPr>
                <w:rFonts w:ascii="Times New Roman" w:hAnsi="Times New Roman"/>
                <w:sz w:val="21"/>
                <w:szCs w:val="21"/>
              </w:rPr>
            </w:pPr>
            <w:r>
              <w:rPr>
                <w:rFonts w:ascii="Times New Roman" w:hAnsi="Times New Roman"/>
                <w:sz w:val="21"/>
                <w:szCs w:val="21"/>
              </w:rPr>
              <w:t>慢性心力衰竭是多种心血管疾病发展到后期导致心脏收缩或舒张功能障碍的一种临床综合征。作为心血管疾病的终末阶段，其发病率、死亡率一直居高不下，严重威胁我国人民群众的生命和健康。如何有效遏制心脏重塑，是目前慢性心力衰竭诊治的主要方向。免疫炎症反应与慢性心力衰竭的发生发展相关。因此，本项目从基础和临床两个方面深入研究慢性心力衰竭的发病机制以及基于免疫炎症网络的综合防治策略，主要取得以下成果：（1）发现白细胞介素家族与慢性心力衰竭的发生密切相关。率先发现IL-27p28基因敲除可通过加重M1巨噬细胞/M2巨噬细胞失衡及其相关的炎症反应和氧化应激，加重心脏损伤，促进慢性心力衰竭的发生和发展；（2）发现基于免疫炎症网络的策略在慢性心力衰竭综合防治中具有重要价值。率先发现抗IL-16中和抗体抑制p65通路的激活，降低M1巨噬细胞相关细胞因子的表达，减少心肌细胞凋亡，改善心脏功能；发现沙库巴曲缬沙坦、雷公藤内酯醇、芍药苷等药物可通过抑制p38 MAPK和TGF-β1/Smad信号通路，显著减轻心肌纤维化并改善心脏功能；（3）发现CTRP1可作为慢性心力衰竭的新型标志物，对于评价患者的临床预后具有良好的应用前景；（4）原创性构建了经腹膜后入路的可重复性新型大鼠腹主动脉瘤模型，能够有效地模拟人类腹主动脉瘤炎症细胞浸润、蛋白酶活性增强和细胞外基质破坏的病理特征，为动脉粥样硬化性疾病的基础研究提供了更优化的模型选择。</w:t>
            </w:r>
          </w:p>
          <w:p>
            <w:pPr>
              <w:pStyle w:val="5"/>
              <w:ind w:firstLine="420"/>
              <w:rPr>
                <w:rFonts w:ascii="Times New Roman" w:hAnsi="Times New Roman"/>
                <w:sz w:val="21"/>
                <w:szCs w:val="21"/>
              </w:rPr>
            </w:pPr>
            <w:r>
              <w:rPr>
                <w:rFonts w:ascii="Times New Roman" w:hAnsi="Times New Roman"/>
                <w:sz w:val="21"/>
                <w:szCs w:val="21"/>
              </w:rPr>
              <w:t>该项目历时十余年，得到了国家自然科学基金在内的十多项科研课题资助，经过多维度的基础和临床研究，取得了丰硕的研究成果，于国内外知名期刊（例如J Am Heart Assoc、J Am Coll Cardiol、Circ Heart Fail、Cardiovasc Res、Cardiovasc Diabetol、Aging、Cell Physiol Biochem、Heart、Int J Cardiol、Sci Rep、Mediators Inflamm、中华高血压杂志、中国免疫学杂志等）发表学术论文90篇，其中67篇论文被SCI收录，总他引频次1007次，单篇最高他引频次90次, SCI总影响因子263.726分。培养博士研究生及硕士研究生数十名，在国内外重要的心血管会议进行海报或口头汇报交流10余次。</w:t>
            </w:r>
          </w:p>
          <w:p>
            <w:pPr>
              <w:pStyle w:val="5"/>
              <w:ind w:firstLine="420"/>
              <w:rPr>
                <w:rFonts w:ascii="Times New Roman" w:hAnsi="Times New Roman"/>
                <w:sz w:val="21"/>
                <w:szCs w:val="21"/>
              </w:rPr>
            </w:pPr>
            <w:r>
              <w:rPr>
                <w:rFonts w:ascii="Times New Roman" w:hAnsi="Times New Roman"/>
                <w:sz w:val="21"/>
                <w:szCs w:val="21"/>
              </w:rPr>
              <w:t>基于上述研究结果，逐步从基础研究到临床价值转化，本项目的成果已经在川北医学院附属医院、</w:t>
            </w:r>
            <w:r>
              <w:rPr>
                <w:rFonts w:hint="eastAsia" w:ascii="Times New Roman" w:hAnsi="Times New Roman"/>
                <w:sz w:val="21"/>
                <w:szCs w:val="21"/>
              </w:rPr>
              <w:t>南充市中心医院、</w:t>
            </w:r>
            <w:r>
              <w:rPr>
                <w:rFonts w:ascii="Times New Roman" w:hAnsi="Times New Roman"/>
                <w:sz w:val="21"/>
                <w:szCs w:val="21"/>
              </w:rPr>
              <w:t>中山大学附属第五医院等十余家省内外高水平医院推广应用，共救治患者10000余例，改善了患者心室重构和心脏功能，缩短了住院时间，减少了患者的再住院次数，降低了心力衰竭的死亡率，提高了患者的生存质量，获得良好的临床应用价值和社会效益。</w:t>
            </w:r>
          </w:p>
          <w:p>
            <w:pPr>
              <w:spacing w:line="390" w:lineRule="exact"/>
              <w:jc w:val="center"/>
              <w:rPr>
                <w:rFonts w:ascii="宋体"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60" w:hRule="atLeast"/>
        </w:trPr>
        <w:tc>
          <w:tcPr>
            <w:tcW w:w="160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cs="宋体"/>
                <w:szCs w:val="21"/>
              </w:rPr>
            </w:pPr>
            <w:r>
              <w:rPr>
                <w:rFonts w:hint="eastAsia" w:ascii="宋体" w:cs="宋体"/>
                <w:szCs w:val="21"/>
              </w:rPr>
              <w:t>第一完成</w:t>
            </w:r>
          </w:p>
          <w:p>
            <w:pPr>
              <w:spacing w:line="360" w:lineRule="auto"/>
              <w:jc w:val="center"/>
              <w:rPr>
                <w:rFonts w:ascii="黑体" w:eastAsia="黑体"/>
                <w:sz w:val="24"/>
                <w:szCs w:val="24"/>
              </w:rPr>
            </w:pPr>
            <w:r>
              <w:rPr>
                <w:rFonts w:hint="eastAsia" w:ascii="宋体" w:cs="宋体"/>
                <w:szCs w:val="21"/>
              </w:rPr>
              <w:t>单位意见</w:t>
            </w:r>
          </w:p>
        </w:tc>
        <w:tc>
          <w:tcPr>
            <w:tcW w:w="7360" w:type="dxa"/>
            <w:tcBorders>
              <w:top w:val="single" w:color="000000" w:sz="4" w:space="0"/>
              <w:left w:val="single" w:color="000000" w:sz="4" w:space="0"/>
              <w:bottom w:val="single" w:color="000000" w:sz="4" w:space="0"/>
              <w:right w:val="single" w:color="000000" w:sz="4" w:space="0"/>
            </w:tcBorders>
            <w:noWrap/>
          </w:tcPr>
          <w:p>
            <w:pPr>
              <w:spacing w:before="240" w:line="360" w:lineRule="auto"/>
              <w:ind w:firstLine="420" w:firstLineChars="200"/>
              <w:rPr>
                <w:rFonts w:ascii="宋体" w:cs="宋体"/>
                <w:szCs w:val="21"/>
              </w:rPr>
            </w:pPr>
            <w:r>
              <w:rPr>
                <w:rFonts w:hint="eastAsia" w:ascii="宋体" w:cs="宋体"/>
                <w:szCs w:val="21"/>
              </w:rPr>
              <w:t>省科学技术奖候选者不存在以下任何情形：根据相关法律、法规规定，处于被立案审查调查期间的；被判处刑罚或者受到行政处罚、党纪处分、政务处分，并依法被限制表彰奖励的；记入科研诚信严重失信行为数据库，处于惩戒期内的。</w:t>
            </w:r>
          </w:p>
          <w:p>
            <w:pPr>
              <w:spacing w:line="360" w:lineRule="auto"/>
              <w:ind w:firstLine="420" w:firstLineChars="200"/>
              <w:rPr>
                <w:rFonts w:ascii="宋体" w:cs="宋体"/>
                <w:szCs w:val="21"/>
              </w:rPr>
            </w:pPr>
            <w:r>
              <w:rPr>
                <w:rFonts w:hint="eastAsia" w:ascii="宋体" w:cs="宋体"/>
                <w:szCs w:val="21"/>
              </w:rPr>
              <w:t>科学技术项目成果不存在以下任何情形：在知识产权以及项目成果完成单位、完成人等方面有争议尚未解决的；依法应当取得相关行政许可而为取得的；项目成果已在其他省部级以上科学技术奖励中使用过的。</w:t>
            </w:r>
          </w:p>
          <w:p>
            <w:pPr>
              <w:spacing w:line="360" w:lineRule="auto"/>
              <w:ind w:firstLine="840" w:firstLineChars="400"/>
              <w:rPr>
                <w:rFonts w:ascii="宋体" w:cs="宋体"/>
                <w:szCs w:val="21"/>
              </w:rPr>
            </w:pPr>
          </w:p>
          <w:p>
            <w:pPr>
              <w:spacing w:line="360" w:lineRule="auto"/>
              <w:ind w:firstLine="840" w:firstLineChars="400"/>
              <w:rPr>
                <w:rFonts w:ascii="宋体" w:cs="宋体"/>
                <w:szCs w:val="21"/>
              </w:rPr>
            </w:pPr>
          </w:p>
          <w:p>
            <w:pPr>
              <w:spacing w:line="360" w:lineRule="auto"/>
              <w:ind w:firstLine="840" w:firstLineChars="400"/>
              <w:rPr>
                <w:rFonts w:ascii="宋体" w:cs="宋体"/>
                <w:szCs w:val="21"/>
              </w:rPr>
            </w:pPr>
          </w:p>
          <w:p>
            <w:pPr>
              <w:spacing w:line="360" w:lineRule="auto"/>
              <w:ind w:firstLine="840" w:firstLineChars="400"/>
              <w:rPr>
                <w:rFonts w:ascii="宋体" w:cs="宋体"/>
                <w:szCs w:val="21"/>
              </w:rPr>
            </w:pPr>
          </w:p>
          <w:p>
            <w:pPr>
              <w:spacing w:line="360" w:lineRule="auto"/>
              <w:ind w:firstLine="840" w:firstLineChars="400"/>
              <w:rPr>
                <w:rFonts w:ascii="宋体" w:cs="宋体"/>
                <w:szCs w:val="21"/>
              </w:rPr>
            </w:pPr>
          </w:p>
          <w:p>
            <w:pPr>
              <w:spacing w:line="360" w:lineRule="auto"/>
              <w:ind w:firstLine="840" w:firstLineChars="400"/>
              <w:rPr>
                <w:rFonts w:ascii="宋体" w:cs="宋体"/>
                <w:szCs w:val="21"/>
              </w:rPr>
            </w:pPr>
          </w:p>
          <w:p>
            <w:pPr>
              <w:spacing w:line="360" w:lineRule="auto"/>
              <w:ind w:firstLine="840" w:firstLineChars="400"/>
              <w:rPr>
                <w:rFonts w:ascii="宋体" w:cs="宋体"/>
                <w:szCs w:val="21"/>
              </w:rPr>
            </w:pPr>
          </w:p>
          <w:p>
            <w:pPr>
              <w:spacing w:line="360" w:lineRule="auto"/>
              <w:ind w:firstLine="840" w:firstLineChars="400"/>
              <w:rPr>
                <w:rFonts w:ascii="宋体" w:cs="宋体"/>
                <w:szCs w:val="21"/>
              </w:rPr>
            </w:pPr>
          </w:p>
          <w:p>
            <w:pPr>
              <w:spacing w:line="360" w:lineRule="auto"/>
              <w:ind w:firstLine="840" w:firstLineChars="400"/>
              <w:rPr>
                <w:rFonts w:ascii="宋体" w:cs="宋体"/>
                <w:szCs w:val="21"/>
              </w:rPr>
            </w:pPr>
          </w:p>
          <w:p>
            <w:pPr>
              <w:spacing w:line="360" w:lineRule="auto"/>
              <w:ind w:firstLine="840" w:firstLineChars="400"/>
              <w:rPr>
                <w:rFonts w:ascii="宋体" w:cs="宋体"/>
                <w:szCs w:val="21"/>
              </w:rPr>
            </w:pPr>
          </w:p>
          <w:p>
            <w:pPr>
              <w:spacing w:line="360" w:lineRule="auto"/>
              <w:ind w:firstLine="840" w:firstLineChars="400"/>
              <w:rPr>
                <w:rFonts w:ascii="宋体" w:cs="宋体"/>
                <w:szCs w:val="21"/>
              </w:rPr>
            </w:pPr>
          </w:p>
          <w:p>
            <w:pPr>
              <w:spacing w:line="360" w:lineRule="auto"/>
              <w:ind w:firstLine="840" w:firstLineChars="400"/>
              <w:rPr>
                <w:rFonts w:ascii="宋体" w:cs="宋体"/>
                <w:szCs w:val="21"/>
              </w:rPr>
            </w:pPr>
            <w:r>
              <w:rPr>
                <w:rFonts w:hint="eastAsia" w:ascii="宋体" w:cs="宋体"/>
                <w:szCs w:val="21"/>
              </w:rPr>
              <w:t>单位法人签名：                    单位盖章</w:t>
            </w:r>
          </w:p>
          <w:p>
            <w:pPr>
              <w:ind w:firstLine="630" w:firstLineChars="300"/>
              <w:rPr>
                <w:rFonts w:ascii="仿宋_GB2312" w:eastAsia="仿宋_GB2312"/>
                <w:sz w:val="24"/>
                <w:szCs w:val="24"/>
              </w:rPr>
            </w:pPr>
            <w:r>
              <w:rPr>
                <w:rFonts w:hint="eastAsia" w:ascii="宋体" w:cs="宋体"/>
                <w:szCs w:val="21"/>
              </w:rPr>
              <w:t xml:space="preserve">                                  年   月   日</w:t>
            </w:r>
          </w:p>
        </w:tc>
      </w:tr>
    </w:tbl>
    <w:p>
      <w:pPr>
        <w:spacing w:line="390" w:lineRule="exact"/>
        <w:jc w:val="center"/>
        <w:outlineLvl w:val="1"/>
        <w:rPr>
          <w:rFonts w:ascii="黑体" w:eastAsia="黑体" w:cs="黑体"/>
          <w:bCs/>
          <w:color w:val="000000"/>
          <w:kern w:val="0"/>
          <w:sz w:val="28"/>
          <w:szCs w:val="28"/>
        </w:rPr>
      </w:pPr>
    </w:p>
    <w:p>
      <w:pPr>
        <w:spacing w:line="360" w:lineRule="auto"/>
        <w:jc w:val="center"/>
        <w:rPr>
          <w:rFonts w:ascii="宋体" w:cs="Times New Roman"/>
          <w:b/>
          <w:bCs/>
          <w:color w:val="000000"/>
          <w:kern w:val="0"/>
          <w:sz w:val="28"/>
        </w:rPr>
      </w:pPr>
    </w:p>
    <w:p>
      <w:pPr>
        <w:spacing w:line="360" w:lineRule="auto"/>
        <w:jc w:val="center"/>
        <w:rPr>
          <w:rFonts w:ascii="宋体" w:cs="Times New Roman"/>
          <w:b/>
          <w:bCs/>
          <w:color w:val="000000"/>
          <w:kern w:val="0"/>
          <w:sz w:val="28"/>
        </w:rPr>
      </w:pPr>
    </w:p>
    <w:p>
      <w:pPr>
        <w:spacing w:line="360" w:lineRule="auto"/>
        <w:jc w:val="center"/>
        <w:rPr>
          <w:rFonts w:ascii="宋体" w:cs="Times New Roman"/>
          <w:b/>
          <w:bCs/>
          <w:color w:val="000000"/>
          <w:kern w:val="0"/>
          <w:sz w:val="28"/>
        </w:rPr>
      </w:pPr>
    </w:p>
    <w:p>
      <w:pPr>
        <w:spacing w:line="360" w:lineRule="auto"/>
        <w:jc w:val="center"/>
        <w:rPr>
          <w:rFonts w:ascii="宋体" w:cs="Times New Roman"/>
          <w:b/>
          <w:color w:val="000000"/>
          <w:kern w:val="0"/>
          <w:sz w:val="28"/>
        </w:rPr>
      </w:pPr>
      <w:r>
        <w:rPr>
          <w:rFonts w:hint="eastAsia" w:ascii="宋体" w:cs="Times New Roman"/>
          <w:b/>
          <w:bCs/>
          <w:color w:val="000000"/>
          <w:kern w:val="0"/>
          <w:sz w:val="28"/>
        </w:rPr>
        <w:t>二</w:t>
      </w:r>
      <w:r>
        <w:rPr>
          <w:rFonts w:ascii="宋体" w:cs="Times New Roman"/>
          <w:b/>
          <w:bCs/>
          <w:color w:val="000000"/>
          <w:kern w:val="0"/>
          <w:sz w:val="28"/>
        </w:rPr>
        <w:t>、</w:t>
      </w:r>
      <w:r>
        <w:rPr>
          <w:rFonts w:ascii="宋体" w:cs="Times New Roman"/>
          <w:b/>
          <w:color w:val="000000"/>
          <w:kern w:val="0"/>
          <w:sz w:val="28"/>
        </w:rPr>
        <w:t>提名</w:t>
      </w:r>
      <w:r>
        <w:rPr>
          <w:rFonts w:hint="eastAsia" w:ascii="宋体" w:cs="Times New Roman"/>
          <w:b/>
          <w:color w:val="000000"/>
          <w:kern w:val="0"/>
          <w:sz w:val="28"/>
        </w:rPr>
        <w:t>单位</w:t>
      </w:r>
      <w:r>
        <w:rPr>
          <w:rFonts w:ascii="宋体" w:cs="Times New Roman"/>
          <w:b/>
          <w:color w:val="000000"/>
          <w:kern w:val="0"/>
          <w:sz w:val="28"/>
        </w:rPr>
        <w:t>意见</w:t>
      </w:r>
    </w:p>
    <w:tbl>
      <w:tblPr>
        <w:tblStyle w:val="8"/>
        <w:tblW w:w="890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4481"/>
        <w:gridCol w:w="1091"/>
        <w:gridCol w:w="21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15" w:type="dxa"/>
            <w:tcBorders>
              <w:top w:val="single" w:color="auto" w:sz="8" w:space="0"/>
              <w:left w:val="single" w:color="auto" w:sz="8" w:space="0"/>
              <w:bottom w:val="single" w:color="auto" w:sz="8" w:space="0"/>
              <w:right w:val="single" w:color="auto" w:sz="8" w:space="0"/>
            </w:tcBorders>
            <w:noWrap/>
            <w:vAlign w:val="center"/>
          </w:tcPr>
          <w:p>
            <w:pPr>
              <w:jc w:val="center"/>
              <w:rPr>
                <w:rFonts w:ascii="宋体" w:cs="Times New Roman"/>
                <w:color w:val="000000"/>
              </w:rPr>
            </w:pPr>
            <w:r>
              <w:rPr>
                <w:rFonts w:hint="eastAsia" w:ascii="宋体" w:cs="Times New Roman"/>
                <w:color w:val="000000"/>
              </w:rPr>
              <w:t>提名单位</w:t>
            </w:r>
          </w:p>
        </w:tc>
        <w:tc>
          <w:tcPr>
            <w:tcW w:w="7686" w:type="dxa"/>
            <w:gridSpan w:val="3"/>
            <w:tcBorders>
              <w:top w:val="single" w:color="auto" w:sz="8" w:space="0"/>
              <w:left w:val="single" w:color="auto" w:sz="8" w:space="0"/>
              <w:bottom w:val="single" w:color="auto" w:sz="8" w:space="0"/>
              <w:right w:val="single" w:color="auto" w:sz="8" w:space="0"/>
            </w:tcBorders>
            <w:noWrap/>
            <w:vAlign w:val="center"/>
          </w:tcPr>
          <w:p>
            <w:pPr>
              <w:ind w:firstLine="420" w:firstLineChars="200"/>
              <w:jc w:val="center"/>
              <w:rPr>
                <w:rFonts w:ascii="Times New Roman" w:hAnsi="Times New Roman" w:cs="Times New Roman"/>
                <w:color w:val="000000"/>
              </w:rPr>
            </w:pPr>
            <w:r>
              <w:rPr>
                <w:rFonts w:ascii="Times New Roman" w:hAnsi="Times New Roman" w:cs="Times New Roman"/>
                <w:color w:val="000000"/>
              </w:rPr>
              <w:t>南充市人民政府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15" w:type="dxa"/>
            <w:tcBorders>
              <w:top w:val="single" w:color="auto" w:sz="4" w:space="0"/>
              <w:left w:val="single" w:color="auto" w:sz="8" w:space="0"/>
              <w:bottom w:val="single" w:color="auto" w:sz="8" w:space="0"/>
              <w:right w:val="single" w:color="auto" w:sz="8" w:space="0"/>
            </w:tcBorders>
            <w:noWrap/>
            <w:vAlign w:val="center"/>
          </w:tcPr>
          <w:p>
            <w:pPr>
              <w:jc w:val="center"/>
              <w:rPr>
                <w:rFonts w:ascii="宋体" w:cs="Times New Roman"/>
                <w:color w:val="000000"/>
              </w:rPr>
            </w:pPr>
            <w:r>
              <w:rPr>
                <w:rFonts w:hint="eastAsia" w:ascii="宋体" w:cs="Times New Roman"/>
                <w:color w:val="000000"/>
              </w:rPr>
              <w:t>通讯地址</w:t>
            </w:r>
          </w:p>
        </w:tc>
        <w:tc>
          <w:tcPr>
            <w:tcW w:w="4481" w:type="dxa"/>
            <w:tcBorders>
              <w:top w:val="single" w:color="auto" w:sz="4" w:space="0"/>
              <w:left w:val="single" w:color="auto" w:sz="8" w:space="0"/>
              <w:bottom w:val="single" w:color="auto" w:sz="8" w:space="0"/>
              <w:right w:val="single" w:color="auto" w:sz="8" w:space="0"/>
            </w:tcBorders>
            <w:noWrap/>
            <w:vAlign w:val="center"/>
          </w:tcPr>
          <w:p>
            <w:pPr>
              <w:ind w:firstLine="420" w:firstLineChars="200"/>
              <w:jc w:val="center"/>
              <w:rPr>
                <w:rFonts w:ascii="Times New Roman" w:hAnsi="Times New Roman" w:cs="Times New Roman"/>
                <w:color w:val="000000"/>
              </w:rPr>
            </w:pPr>
            <w:r>
              <w:rPr>
                <w:rFonts w:ascii="Times New Roman" w:hAnsi="Times New Roman" w:cs="Times New Roman"/>
                <w:color w:val="000000"/>
              </w:rPr>
              <w:t>四川省南充市顺庆区万年西路2号</w:t>
            </w:r>
          </w:p>
        </w:tc>
        <w:tc>
          <w:tcPr>
            <w:tcW w:w="1091" w:type="dxa"/>
            <w:tcBorders>
              <w:top w:val="single" w:color="auto" w:sz="4" w:space="0"/>
              <w:left w:val="single" w:color="auto" w:sz="8" w:space="0"/>
              <w:bottom w:val="single" w:color="auto" w:sz="8" w:space="0"/>
              <w:right w:val="single" w:color="auto" w:sz="8" w:space="0"/>
            </w:tcBorders>
            <w:noWrap/>
            <w:vAlign w:val="center"/>
          </w:tcPr>
          <w:p>
            <w:pPr>
              <w:jc w:val="center"/>
              <w:rPr>
                <w:rFonts w:ascii="Times New Roman" w:hAnsi="Times New Roman" w:cs="Times New Roman"/>
                <w:color w:val="000000"/>
              </w:rPr>
            </w:pPr>
            <w:r>
              <w:rPr>
                <w:rFonts w:ascii="Times New Roman" w:hAnsi="Times New Roman" w:cs="Times New Roman"/>
                <w:color w:val="000000"/>
              </w:rPr>
              <w:t>邮政编码</w:t>
            </w:r>
          </w:p>
        </w:tc>
        <w:tc>
          <w:tcPr>
            <w:tcW w:w="2114" w:type="dxa"/>
            <w:tcBorders>
              <w:top w:val="single" w:color="auto" w:sz="4" w:space="0"/>
              <w:left w:val="single" w:color="auto" w:sz="8" w:space="0"/>
              <w:bottom w:val="single" w:color="auto" w:sz="8" w:space="0"/>
              <w:right w:val="single" w:color="auto" w:sz="8" w:space="0"/>
            </w:tcBorders>
            <w:noWrap/>
            <w:vAlign w:val="center"/>
          </w:tcPr>
          <w:p>
            <w:pPr>
              <w:ind w:firstLine="420" w:firstLineChars="200"/>
              <w:jc w:val="center"/>
              <w:rPr>
                <w:rFonts w:ascii="Times New Roman" w:hAnsi="Times New Roman" w:cs="Times New Roman"/>
                <w:color w:val="000000"/>
              </w:rPr>
            </w:pPr>
            <w:r>
              <w:rPr>
                <w:rFonts w:ascii="Times New Roman" w:hAnsi="Times New Roman" w:cs="Times New Roman"/>
                <w:color w:val="000000"/>
              </w:rPr>
              <w:t>637000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15" w:type="dxa"/>
            <w:tcBorders>
              <w:top w:val="single" w:color="auto" w:sz="4" w:space="0"/>
              <w:left w:val="single" w:color="auto" w:sz="8" w:space="0"/>
              <w:bottom w:val="single" w:color="auto" w:sz="8" w:space="0"/>
              <w:right w:val="single" w:color="auto" w:sz="8" w:space="0"/>
            </w:tcBorders>
            <w:noWrap/>
            <w:vAlign w:val="center"/>
          </w:tcPr>
          <w:p>
            <w:pPr>
              <w:jc w:val="center"/>
              <w:rPr>
                <w:rFonts w:ascii="宋体" w:cs="Times New Roman"/>
                <w:color w:val="000000"/>
              </w:rPr>
            </w:pPr>
            <w:r>
              <w:rPr>
                <w:rFonts w:hint="eastAsia" w:ascii="宋体" w:cs="Times New Roman"/>
                <w:color w:val="000000"/>
              </w:rPr>
              <w:t>联 系 人</w:t>
            </w:r>
          </w:p>
        </w:tc>
        <w:tc>
          <w:tcPr>
            <w:tcW w:w="4481" w:type="dxa"/>
            <w:tcBorders>
              <w:top w:val="single" w:color="auto" w:sz="4" w:space="0"/>
              <w:left w:val="single" w:color="auto" w:sz="8" w:space="0"/>
              <w:bottom w:val="single" w:color="auto" w:sz="8" w:space="0"/>
              <w:right w:val="single" w:color="auto" w:sz="8" w:space="0"/>
            </w:tcBorders>
            <w:noWrap/>
            <w:vAlign w:val="center"/>
          </w:tcPr>
          <w:p>
            <w:pPr>
              <w:ind w:firstLine="420" w:firstLineChars="200"/>
              <w:jc w:val="center"/>
              <w:rPr>
                <w:rFonts w:ascii="Times New Roman" w:hAnsi="Times New Roman" w:cs="Times New Roman"/>
                <w:color w:val="000000"/>
              </w:rPr>
            </w:pPr>
            <w:r>
              <w:rPr>
                <w:rFonts w:ascii="Times New Roman" w:hAnsi="Times New Roman" w:cs="Times New Roman"/>
                <w:color w:val="000000"/>
              </w:rPr>
              <w:t>马文龙</w:t>
            </w:r>
          </w:p>
        </w:tc>
        <w:tc>
          <w:tcPr>
            <w:tcW w:w="1091" w:type="dxa"/>
            <w:tcBorders>
              <w:top w:val="single" w:color="auto" w:sz="4" w:space="0"/>
              <w:left w:val="single" w:color="auto" w:sz="8" w:space="0"/>
              <w:bottom w:val="single" w:color="auto" w:sz="8" w:space="0"/>
              <w:right w:val="single" w:color="auto" w:sz="8" w:space="0"/>
            </w:tcBorders>
            <w:noWrap/>
            <w:vAlign w:val="center"/>
          </w:tcPr>
          <w:p>
            <w:pPr>
              <w:jc w:val="center"/>
              <w:rPr>
                <w:rFonts w:ascii="Times New Roman" w:hAnsi="Times New Roman" w:cs="Times New Roman"/>
                <w:color w:val="000000"/>
              </w:rPr>
            </w:pPr>
            <w:r>
              <w:rPr>
                <w:rFonts w:ascii="Times New Roman" w:hAnsi="Times New Roman" w:cs="Times New Roman"/>
                <w:color w:val="000000"/>
              </w:rPr>
              <w:t>联系电话</w:t>
            </w:r>
          </w:p>
        </w:tc>
        <w:tc>
          <w:tcPr>
            <w:tcW w:w="2114" w:type="dxa"/>
            <w:tcBorders>
              <w:top w:val="single" w:color="auto" w:sz="4" w:space="0"/>
              <w:left w:val="single" w:color="auto" w:sz="8" w:space="0"/>
              <w:bottom w:val="single" w:color="auto" w:sz="8" w:space="0"/>
              <w:right w:val="single" w:color="auto" w:sz="8" w:space="0"/>
            </w:tcBorders>
            <w:noWrap/>
            <w:vAlign w:val="center"/>
          </w:tcPr>
          <w:p>
            <w:pPr>
              <w:ind w:firstLine="420" w:firstLineChars="200"/>
              <w:jc w:val="center"/>
              <w:rPr>
                <w:rFonts w:ascii="Times New Roman" w:hAnsi="Times New Roman" w:cs="Times New Roman"/>
                <w:color w:val="000000"/>
              </w:rPr>
            </w:pPr>
            <w:r>
              <w:rPr>
                <w:rFonts w:ascii="Times New Roman" w:hAnsi="Times New Roman" w:cs="Times New Roman"/>
                <w:color w:val="000000"/>
              </w:rPr>
              <w:t>13518290052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15" w:type="dxa"/>
            <w:tcBorders>
              <w:top w:val="single" w:color="auto" w:sz="4" w:space="0"/>
              <w:left w:val="single" w:color="auto" w:sz="8" w:space="0"/>
              <w:bottom w:val="single" w:color="auto" w:sz="8" w:space="0"/>
              <w:right w:val="single" w:color="auto" w:sz="8" w:space="0"/>
            </w:tcBorders>
            <w:noWrap/>
            <w:vAlign w:val="center"/>
          </w:tcPr>
          <w:p>
            <w:pPr>
              <w:jc w:val="center"/>
              <w:rPr>
                <w:rFonts w:ascii="宋体" w:cs="Times New Roman"/>
                <w:color w:val="000000"/>
              </w:rPr>
            </w:pPr>
            <w:r>
              <w:rPr>
                <w:rFonts w:hint="eastAsia" w:ascii="宋体" w:cs="Times New Roman"/>
                <w:color w:val="000000"/>
              </w:rPr>
              <w:t>电子邮箱</w:t>
            </w:r>
          </w:p>
        </w:tc>
        <w:tc>
          <w:tcPr>
            <w:tcW w:w="4481" w:type="dxa"/>
            <w:tcBorders>
              <w:top w:val="single" w:color="auto" w:sz="4" w:space="0"/>
              <w:left w:val="single" w:color="auto" w:sz="8" w:space="0"/>
              <w:bottom w:val="single" w:color="auto" w:sz="8" w:space="0"/>
              <w:right w:val="single" w:color="auto" w:sz="8" w:space="0"/>
            </w:tcBorders>
            <w:noWrap/>
            <w:vAlign w:val="center"/>
          </w:tcPr>
          <w:p>
            <w:pPr>
              <w:ind w:firstLine="420" w:firstLineChars="200"/>
              <w:jc w:val="center"/>
              <w:rPr>
                <w:rFonts w:ascii="Times New Roman" w:hAnsi="Times New Roman" w:cs="Times New Roman"/>
                <w:color w:val="000000"/>
              </w:rPr>
            </w:pPr>
            <w:r>
              <w:rPr>
                <w:rFonts w:ascii="Times New Roman" w:hAnsi="Times New Roman" w:cs="Times New Roman"/>
                <w:color w:val="000000"/>
              </w:rPr>
              <w:t>406299741@qq.com</w:t>
            </w:r>
          </w:p>
        </w:tc>
        <w:tc>
          <w:tcPr>
            <w:tcW w:w="1091" w:type="dxa"/>
            <w:tcBorders>
              <w:top w:val="single" w:color="auto" w:sz="4" w:space="0"/>
              <w:left w:val="single" w:color="auto" w:sz="8" w:space="0"/>
              <w:bottom w:val="single" w:color="auto" w:sz="8" w:space="0"/>
              <w:right w:val="single" w:color="auto" w:sz="8" w:space="0"/>
            </w:tcBorders>
            <w:noWrap/>
            <w:vAlign w:val="center"/>
          </w:tcPr>
          <w:p>
            <w:pPr>
              <w:jc w:val="center"/>
              <w:rPr>
                <w:rFonts w:ascii="Times New Roman" w:hAnsi="Times New Roman" w:cs="Times New Roman"/>
                <w:color w:val="000000"/>
              </w:rPr>
            </w:pPr>
            <w:r>
              <w:rPr>
                <w:rFonts w:ascii="Times New Roman" w:hAnsi="Times New Roman" w:cs="Times New Roman"/>
                <w:color w:val="000000"/>
              </w:rPr>
              <w:t>传    真</w:t>
            </w:r>
          </w:p>
        </w:tc>
        <w:tc>
          <w:tcPr>
            <w:tcW w:w="2114" w:type="dxa"/>
            <w:tcBorders>
              <w:top w:val="single" w:color="auto" w:sz="4" w:space="0"/>
              <w:left w:val="single" w:color="auto" w:sz="8" w:space="0"/>
              <w:bottom w:val="single" w:color="auto" w:sz="8" w:space="0"/>
              <w:right w:val="single" w:color="auto" w:sz="8" w:space="0"/>
            </w:tcBorders>
            <w:noWrap/>
            <w:vAlign w:val="center"/>
          </w:tcPr>
          <w:p>
            <w:pPr>
              <w:ind w:firstLine="420" w:firstLineChars="200"/>
              <w:jc w:val="center"/>
              <w:rPr>
                <w:rFonts w:ascii="Times New Roman" w:hAnsi="Times New Roman" w:cs="Times New Roman"/>
                <w:color w:val="000000"/>
              </w:rPr>
            </w:pPr>
            <w:r>
              <w:rPr>
                <w:rFonts w:ascii="Times New Roman" w:hAnsi="Times New Roman" w:cs="Times New Roman"/>
                <w:color w:val="000000"/>
              </w:rPr>
              <w:t>0817-2236280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21" w:hRule="atLeast"/>
          <w:jc w:val="center"/>
        </w:trPr>
        <w:tc>
          <w:tcPr>
            <w:tcW w:w="8901" w:type="dxa"/>
            <w:gridSpan w:val="4"/>
            <w:tcBorders>
              <w:top w:val="single" w:color="auto" w:sz="4" w:space="0"/>
              <w:left w:val="single" w:color="auto" w:sz="8" w:space="0"/>
              <w:bottom w:val="single" w:color="auto" w:sz="8" w:space="0"/>
              <w:right w:val="single" w:color="auto" w:sz="8" w:space="0"/>
            </w:tcBorders>
            <w:noWrap/>
          </w:tcPr>
          <w:p>
            <w:pPr>
              <w:rPr>
                <w:rFonts w:ascii="宋体" w:cs="Times New Roman"/>
                <w:color w:val="000000"/>
                <w:szCs w:val="20"/>
              </w:rPr>
            </w:pPr>
          </w:p>
          <w:p>
            <w:pPr>
              <w:rPr>
                <w:rFonts w:ascii="宋体" w:cs="Times New Roman"/>
                <w:color w:val="000000"/>
                <w:szCs w:val="20"/>
              </w:rPr>
            </w:pPr>
            <w:r>
              <w:rPr>
                <w:rFonts w:hint="eastAsia" w:ascii="宋体" w:cs="Times New Roman"/>
                <w:color w:val="000000"/>
                <w:szCs w:val="20"/>
              </w:rPr>
              <w:t>提名意见：</w:t>
            </w:r>
          </w:p>
          <w:p>
            <w:pPr>
              <w:ind w:firstLine="420" w:firstLineChars="200"/>
              <w:rPr>
                <w:rFonts w:ascii="Times New Roman" w:hAnsi="Times New Roman" w:cs="Times New Roman"/>
                <w:color w:val="000000"/>
                <w:szCs w:val="20"/>
              </w:rPr>
            </w:pPr>
            <w:r>
              <w:rPr>
                <w:rFonts w:ascii="Times New Roman" w:hAnsi="Times New Roman" w:cs="Times New Roman"/>
                <w:color w:val="000000"/>
              </w:rPr>
              <w:t>慢性心力衰竭是心血管疾病的终末阶段，其发病率、死亡率一直居高不下，严重威胁我国人民群众的生命和健康。该项目从基础和临床两个方面深入研究慢性心力衰竭的发病机制及综合防治策略，主要取得以下成果：（1）发现IL-12p35基因敲除可通过调节炎症反应导致慢性心力衰竭和衰老的发生；IL-27p28基因敲除可通过加重M1巨噬细胞/M2巨噬细胞失衡及氧化应激，促进慢性心力衰竭的发生和发展；（2）发现抗IL-16中和抗体抑制p65通路的激活，减少心肌细胞凋亡，改善心脏功能；沙库巴曲缬沙坦、雷公藤内酯醇、芍药苷等药物可通过抑制p38 MAPK和TGF-β1/Smad信号通路，减轻心肌纤维化；（3）发现CTRP1可作为慢性心力衰竭的新型标志物，对于评价患者预后具有良好的应用价值；（4）原创性构建了经腹膜后入路的可重复性新型大鼠腹主动脉瘤模型，为研究动脉粥样硬化性疾病提供了更优的模型选择。该项目历时十余年，得到了国家自然科学基金在内的十多项科研基金资助，取得了丰硕的研究成果，在国内外知名期刊上发表论文数十篇，取得了较好的学术影响。项目成果已在川北医学院附属医院</w:t>
            </w:r>
            <w:r>
              <w:rPr>
                <w:rFonts w:hint="eastAsia" w:ascii="Times New Roman" w:hAnsi="Times New Roman" w:cs="Times New Roman"/>
                <w:color w:val="000000"/>
              </w:rPr>
              <w:t>、</w:t>
            </w:r>
            <w:r>
              <w:rPr>
                <w:rFonts w:ascii="Times New Roman" w:hAnsi="Times New Roman" w:cs="Times New Roman"/>
                <w:color w:val="000000"/>
              </w:rPr>
              <w:t>中山大学附属第五医院等十余家省内外高水平医院推广应用，获得良好的社会和经济效益。该项目研究方法先进、技术成熟、数据详实、结论新颖、结果可靠，具有创新性和实用性，总体达到了国内领先水平。</w:t>
            </w:r>
          </w:p>
          <w:p>
            <w:pPr>
              <w:tabs>
                <w:tab w:val="left" w:pos="726"/>
              </w:tabs>
              <w:rPr>
                <w:rFonts w:ascii="Times New Roman" w:hAnsi="Times New Roman" w:cs="Times New Roman"/>
                <w:color w:val="000000"/>
                <w:sz w:val="18"/>
                <w:szCs w:val="20"/>
              </w:rPr>
            </w:pPr>
          </w:p>
          <w:p>
            <w:pPr>
              <w:ind w:firstLine="428" w:firstLineChars="200"/>
              <w:rPr>
                <w:rFonts w:ascii="宋体" w:cs="Times New Roman"/>
                <w:b/>
                <w:bCs/>
                <w:strike/>
                <w:color w:val="000000"/>
                <w:szCs w:val="20"/>
              </w:rPr>
            </w:pPr>
            <w:r>
              <w:rPr>
                <w:rFonts w:hint="eastAsia" w:ascii="宋体" w:hAnsi="宋体"/>
                <w:bCs/>
                <w:color w:val="000000"/>
                <w:spacing w:val="2"/>
              </w:rPr>
              <w:t>提名该项目为2023年度四川省科学技术进步奖。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79" w:hRule="atLeast"/>
          <w:jc w:val="center"/>
        </w:trPr>
        <w:tc>
          <w:tcPr>
            <w:tcW w:w="8901" w:type="dxa"/>
            <w:gridSpan w:val="4"/>
            <w:tcBorders>
              <w:top w:val="single" w:color="auto" w:sz="4" w:space="0"/>
              <w:left w:val="single" w:color="auto" w:sz="8" w:space="0"/>
              <w:bottom w:val="single" w:color="auto" w:sz="8" w:space="0"/>
              <w:right w:val="single" w:color="auto" w:sz="8" w:space="0"/>
            </w:tcBorders>
            <w:noWrap/>
          </w:tcPr>
          <w:p>
            <w:pPr>
              <w:spacing w:line="320" w:lineRule="exact"/>
              <w:ind w:firstLine="422" w:firstLineChars="200"/>
              <w:rPr>
                <w:rFonts w:ascii="仿宋_GB2312" w:hAnsi="仿宋_GB2312" w:cs="Times New Roman"/>
                <w:color w:val="000000"/>
                <w:sz w:val="24"/>
              </w:rPr>
            </w:pPr>
            <w:r>
              <w:rPr>
                <w:rFonts w:hint="eastAsia" w:ascii="宋体" w:cs="Times New Roman"/>
                <w:b/>
                <w:bCs/>
                <w:color w:val="000000"/>
              </w:rPr>
              <w:t>声</w:t>
            </w:r>
            <w:r>
              <w:rPr>
                <w:rFonts w:ascii="宋体" w:cs="Times New Roman"/>
                <w:b/>
                <w:bCs/>
                <w:color w:val="000000"/>
              </w:rPr>
              <w:t>明：</w:t>
            </w:r>
            <w:r>
              <w:rPr>
                <w:rFonts w:hint="eastAsia" w:ascii="宋体" w:cs="Times New Roman"/>
                <w:color w:val="000000"/>
              </w:rPr>
              <w:t>本单位遵守《四川省科学技术奖励办法》等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积极调查处理。</w:t>
            </w:r>
          </w:p>
          <w:p>
            <w:pPr>
              <w:rPr>
                <w:rFonts w:ascii="Times New Roman" w:hAnsi="Times New Roman" w:cs="Times New Roman"/>
                <w:color w:val="000000"/>
                <w:szCs w:val="20"/>
              </w:rPr>
            </w:pPr>
          </w:p>
          <w:p>
            <w:pPr>
              <w:rPr>
                <w:rFonts w:ascii="Times New Roman" w:hAnsi="Times New Roman" w:cs="Times New Roman"/>
                <w:color w:val="000000"/>
                <w:szCs w:val="20"/>
              </w:rPr>
            </w:pPr>
          </w:p>
          <w:p>
            <w:pPr>
              <w:rPr>
                <w:rFonts w:ascii="Times New Roman" w:hAnsi="Times New Roman" w:cs="Times New Roman"/>
                <w:color w:val="000000"/>
                <w:szCs w:val="20"/>
              </w:rPr>
            </w:pPr>
          </w:p>
          <w:p>
            <w:pPr>
              <w:rPr>
                <w:rFonts w:ascii="Times New Roman" w:hAnsi="Times New Roman" w:cs="Times New Roman"/>
                <w:color w:val="000000"/>
                <w:szCs w:val="20"/>
              </w:rPr>
            </w:pPr>
          </w:p>
          <w:p>
            <w:pPr>
              <w:ind w:firstLine="420" w:firstLineChars="200"/>
              <w:rPr>
                <w:rFonts w:ascii="Times New Roman" w:hAnsi="Times New Roman" w:cs="Times New Roman"/>
                <w:color w:val="000000"/>
                <w:szCs w:val="20"/>
              </w:rPr>
            </w:pPr>
            <w:r>
              <w:rPr>
                <w:rFonts w:hint="eastAsia" w:ascii="Times New Roman" w:hAnsi="Times New Roman" w:cs="Times New Roman"/>
                <w:color w:val="000000"/>
                <w:szCs w:val="20"/>
              </w:rPr>
              <w:t xml:space="preserve">     单位负责人签名：                             提名单位（盖章） </w:t>
            </w:r>
          </w:p>
          <w:p>
            <w:pPr>
              <w:ind w:firstLine="420" w:firstLineChars="200"/>
              <w:rPr>
                <w:rFonts w:ascii="Times New Roman" w:hAnsi="Times New Roman" w:cs="Times New Roman"/>
                <w:color w:val="000000"/>
                <w:szCs w:val="20"/>
              </w:rPr>
            </w:pPr>
          </w:p>
          <w:p>
            <w:pPr>
              <w:spacing w:line="360" w:lineRule="auto"/>
              <w:rPr>
                <w:rFonts w:ascii="宋体" w:cs="Times New Roman"/>
                <w:color w:val="000000"/>
                <w:szCs w:val="20"/>
              </w:rPr>
            </w:pPr>
            <w:r>
              <w:rPr>
                <w:rFonts w:hint="eastAsia" w:ascii="宋体" w:cs="Times New Roman"/>
                <w:color w:val="000000"/>
                <w:szCs w:val="20"/>
              </w:rPr>
              <w:t xml:space="preserve">             年   月   日                                   年    月    日</w:t>
            </w:r>
          </w:p>
        </w:tc>
      </w:tr>
    </w:tbl>
    <w:p>
      <w:pPr>
        <w:spacing w:line="390" w:lineRule="exact"/>
        <w:jc w:val="center"/>
        <w:outlineLvl w:val="1"/>
        <w:rPr>
          <w:rFonts w:ascii="黑体" w:eastAsia="黑体" w:cs="黑体"/>
          <w:bCs/>
          <w:color w:val="000000"/>
          <w:kern w:val="0"/>
          <w:sz w:val="28"/>
          <w:szCs w:val="28"/>
        </w:rPr>
      </w:pPr>
    </w:p>
    <w:p>
      <w:pPr>
        <w:spacing w:line="390" w:lineRule="exact"/>
        <w:jc w:val="center"/>
        <w:outlineLvl w:val="1"/>
        <w:rPr>
          <w:rFonts w:ascii="宋体" w:cs="宋体"/>
          <w:szCs w:val="21"/>
        </w:rPr>
      </w:pPr>
      <w:r>
        <w:rPr>
          <w:rFonts w:hint="eastAsia" w:ascii="宋体" w:cs="Times New Roman"/>
          <w:b/>
          <w:color w:val="000000"/>
          <w:sz w:val="28"/>
          <w:szCs w:val="20"/>
        </w:rPr>
        <w:t>三、主要知识产权和标准规范等目录</w:t>
      </w:r>
      <w:r>
        <w:rPr>
          <w:rFonts w:hint="eastAsia" w:ascii="宋体" w:cs="宋体"/>
          <w:szCs w:val="21"/>
        </w:rPr>
        <w:t>（不超过10件，不得空缺）</w:t>
      </w:r>
    </w:p>
    <w:tbl>
      <w:tblPr>
        <w:tblStyle w:val="8"/>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宋体" w:cs="宋体"/>
                <w:szCs w:val="21"/>
              </w:rPr>
            </w:pPr>
            <w:r>
              <w:rPr>
                <w:rFonts w:hint="eastAsia" w:ascii="宋体" w:cs="宋体"/>
                <w:szCs w:val="21"/>
              </w:rPr>
              <w:t>知识产权（标准）类别</w:t>
            </w:r>
          </w:p>
        </w:tc>
        <w:tc>
          <w:tcPr>
            <w:tcW w:w="1260"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宋体" w:cs="宋体"/>
                <w:szCs w:val="21"/>
              </w:rPr>
            </w:pPr>
            <w:r>
              <w:rPr>
                <w:rFonts w:hint="eastAsia" w:ascii="宋体" w:cs="宋体"/>
                <w:szCs w:val="21"/>
              </w:rPr>
              <w:t>知识产权（标准）具体名称</w:t>
            </w:r>
          </w:p>
        </w:tc>
        <w:tc>
          <w:tcPr>
            <w:tcW w:w="1022"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宋体" w:cs="宋体"/>
                <w:szCs w:val="21"/>
              </w:rPr>
            </w:pPr>
            <w:r>
              <w:rPr>
                <w:rFonts w:hint="eastAsia" w:ascii="宋体" w:cs="宋体"/>
                <w:szCs w:val="21"/>
              </w:rPr>
              <w:t>国家</w:t>
            </w:r>
          </w:p>
          <w:p>
            <w:pPr>
              <w:spacing w:line="360" w:lineRule="auto"/>
              <w:jc w:val="center"/>
              <w:rPr>
                <w:rFonts w:ascii="宋体" w:cs="宋体"/>
                <w:szCs w:val="21"/>
              </w:rPr>
            </w:pPr>
            <w:r>
              <w:rPr>
                <w:rFonts w:hint="eastAsia" w:ascii="宋体" w:cs="宋体"/>
                <w:szCs w:val="21"/>
              </w:rPr>
              <w:t>（地区）</w:t>
            </w:r>
          </w:p>
        </w:tc>
        <w:tc>
          <w:tcPr>
            <w:tcW w:w="849"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宋体" w:cs="宋体"/>
                <w:szCs w:val="21"/>
              </w:rPr>
            </w:pPr>
            <w:r>
              <w:rPr>
                <w:rFonts w:hint="eastAsia" w:ascii="宋体" w:cs="宋体"/>
                <w:szCs w:val="21"/>
              </w:rPr>
              <w:t>授权号（标准编号）</w:t>
            </w:r>
          </w:p>
        </w:tc>
        <w:tc>
          <w:tcPr>
            <w:tcW w:w="992"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宋体" w:cs="宋体"/>
                <w:szCs w:val="21"/>
              </w:rPr>
            </w:pPr>
            <w:r>
              <w:rPr>
                <w:rFonts w:hint="eastAsia" w:ascii="宋体" w:cs="宋体"/>
                <w:szCs w:val="21"/>
              </w:rPr>
              <w:t>授权（标准发布）日期</w:t>
            </w:r>
          </w:p>
        </w:tc>
        <w:tc>
          <w:tcPr>
            <w:tcW w:w="1134"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hint="eastAsia" w:ascii="宋体" w:eastAsia="宋体" w:cs="宋体"/>
                <w:szCs w:val="21"/>
                <w:lang w:eastAsia="zh-CN"/>
              </w:rPr>
            </w:pPr>
            <w:r>
              <w:rPr>
                <w:rFonts w:hint="eastAsia" w:ascii="宋体" w:cs="宋体"/>
                <w:szCs w:val="21"/>
              </w:rPr>
              <w:t>证书编号</w:t>
            </w:r>
          </w:p>
          <w:p>
            <w:pPr>
              <w:spacing w:line="360" w:lineRule="auto"/>
              <w:jc w:val="center"/>
              <w:rPr>
                <w:rFonts w:ascii="宋体" w:cs="宋体"/>
                <w:szCs w:val="21"/>
              </w:rPr>
            </w:pPr>
            <w:r>
              <w:rPr>
                <w:rFonts w:hint="eastAsia" w:ascii="宋体" w:cs="宋体"/>
                <w:szCs w:val="21"/>
              </w:rPr>
              <w:t>（标准批准发布部门）</w:t>
            </w:r>
          </w:p>
        </w:tc>
        <w:tc>
          <w:tcPr>
            <w:tcW w:w="850"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宋体" w:cs="宋体"/>
                <w:szCs w:val="21"/>
              </w:rPr>
            </w:pPr>
            <w:r>
              <w:rPr>
                <w:rFonts w:hint="eastAsia" w:ascii="宋体" w:cs="宋体"/>
                <w:szCs w:val="21"/>
              </w:rPr>
              <w:t>权利人（标准起草单位）</w:t>
            </w:r>
          </w:p>
        </w:tc>
        <w:tc>
          <w:tcPr>
            <w:tcW w:w="851"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宋体" w:cs="宋体"/>
                <w:szCs w:val="21"/>
              </w:rPr>
            </w:pPr>
            <w:r>
              <w:rPr>
                <w:rFonts w:hint="eastAsia" w:ascii="宋体" w:cs="宋体"/>
                <w:szCs w:val="21"/>
              </w:rPr>
              <w:t>发明人（标准起草人）</w:t>
            </w:r>
          </w:p>
        </w:tc>
        <w:tc>
          <w:tcPr>
            <w:tcW w:w="1183"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rFonts w:ascii="宋体" w:cs="宋体"/>
                <w:szCs w:val="21"/>
              </w:rPr>
            </w:pPr>
            <w:r>
              <w:rPr>
                <w:rFonts w:hint="eastAsia" w:ascii="宋体" w:cs="宋体"/>
                <w:szCs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8" w:space="0"/>
              <w:right w:val="single" w:color="auto" w:sz="8" w:space="0"/>
            </w:tcBorders>
            <w:noWrap/>
          </w:tcPr>
          <w:p>
            <w:pPr>
              <w:jc w:val="center"/>
              <w:rPr>
                <w:rFonts w:ascii="宋体" w:cs="宋体"/>
                <w:szCs w:val="21"/>
              </w:rPr>
            </w:pPr>
            <w:r>
              <w:rPr>
                <w:rFonts w:hint="eastAsia" w:ascii="宋体" w:cs="宋体"/>
                <w:szCs w:val="21"/>
              </w:rPr>
              <w:t>实用新型专利</w:t>
            </w:r>
          </w:p>
        </w:tc>
        <w:tc>
          <w:tcPr>
            <w:tcW w:w="1260" w:type="dxa"/>
            <w:tcBorders>
              <w:top w:val="single" w:color="auto" w:sz="4" w:space="0"/>
              <w:left w:val="single" w:color="auto" w:sz="8" w:space="0"/>
              <w:bottom w:val="single" w:color="auto" w:sz="8" w:space="0"/>
              <w:right w:val="single" w:color="auto" w:sz="8" w:space="0"/>
            </w:tcBorders>
            <w:noWrap/>
          </w:tcPr>
          <w:p>
            <w:pPr>
              <w:jc w:val="center"/>
              <w:rPr>
                <w:rFonts w:ascii="宋体" w:cs="宋体"/>
                <w:szCs w:val="21"/>
              </w:rPr>
            </w:pPr>
            <w:r>
              <w:rPr>
                <w:rFonts w:hint="eastAsia" w:ascii="宋体" w:cs="宋体"/>
                <w:szCs w:val="21"/>
              </w:rPr>
              <w:t>一种心脏介入手术用手托盘</w:t>
            </w:r>
          </w:p>
        </w:tc>
        <w:tc>
          <w:tcPr>
            <w:tcW w:w="1022" w:type="dxa"/>
            <w:tcBorders>
              <w:top w:val="single" w:color="auto" w:sz="4" w:space="0"/>
              <w:left w:val="single" w:color="auto" w:sz="8" w:space="0"/>
              <w:bottom w:val="single" w:color="auto" w:sz="8" w:space="0"/>
              <w:right w:val="single" w:color="auto" w:sz="8" w:space="0"/>
            </w:tcBorders>
            <w:noWrap/>
          </w:tcPr>
          <w:p>
            <w:pPr>
              <w:jc w:val="center"/>
              <w:rPr>
                <w:rFonts w:ascii="宋体" w:cs="宋体"/>
                <w:szCs w:val="21"/>
              </w:rPr>
            </w:pPr>
            <w:r>
              <w:rPr>
                <w:rFonts w:hint="eastAsia" w:ascii="宋体" w:cs="宋体"/>
                <w:szCs w:val="21"/>
              </w:rPr>
              <w:t>中国</w:t>
            </w:r>
          </w:p>
        </w:tc>
        <w:tc>
          <w:tcPr>
            <w:tcW w:w="849" w:type="dxa"/>
            <w:tcBorders>
              <w:top w:val="single" w:color="auto" w:sz="4" w:space="0"/>
              <w:left w:val="single" w:color="auto" w:sz="8" w:space="0"/>
              <w:bottom w:val="single" w:color="auto" w:sz="8" w:space="0"/>
              <w:right w:val="single" w:color="auto" w:sz="8" w:space="0"/>
            </w:tcBorders>
            <w:noWrap/>
          </w:tcPr>
          <w:p>
            <w:pPr>
              <w:jc w:val="center"/>
              <w:rPr>
                <w:rFonts w:ascii="宋体" w:cs="宋体"/>
                <w:szCs w:val="21"/>
              </w:rPr>
            </w:pPr>
            <w:r>
              <w:rPr>
                <w:rFonts w:ascii="宋体" w:cs="宋体"/>
                <w:szCs w:val="21"/>
              </w:rPr>
              <w:t>ZL201922450931.2</w:t>
            </w:r>
          </w:p>
        </w:tc>
        <w:tc>
          <w:tcPr>
            <w:tcW w:w="992" w:type="dxa"/>
            <w:tcBorders>
              <w:top w:val="single" w:color="auto" w:sz="4" w:space="0"/>
              <w:left w:val="single" w:color="auto" w:sz="8" w:space="0"/>
              <w:bottom w:val="single" w:color="auto" w:sz="8" w:space="0"/>
              <w:right w:val="single" w:color="auto" w:sz="8" w:space="0"/>
            </w:tcBorders>
            <w:noWrap/>
          </w:tcPr>
          <w:p>
            <w:pPr>
              <w:jc w:val="center"/>
              <w:rPr>
                <w:rFonts w:ascii="宋体" w:cs="宋体"/>
                <w:szCs w:val="21"/>
              </w:rPr>
            </w:pPr>
            <w:r>
              <w:rPr>
                <w:rFonts w:hint="eastAsia" w:ascii="宋体" w:cs="宋体"/>
                <w:szCs w:val="21"/>
              </w:rPr>
              <w:t>2</w:t>
            </w:r>
            <w:r>
              <w:rPr>
                <w:rFonts w:ascii="宋体" w:cs="宋体"/>
                <w:szCs w:val="21"/>
              </w:rPr>
              <w:t>020</w:t>
            </w:r>
            <w:r>
              <w:rPr>
                <w:rFonts w:hint="eastAsia" w:ascii="宋体" w:cs="宋体"/>
                <w:szCs w:val="21"/>
              </w:rPr>
              <w:t>-1</w:t>
            </w:r>
            <w:r>
              <w:rPr>
                <w:rFonts w:ascii="宋体" w:cs="宋体"/>
                <w:szCs w:val="21"/>
              </w:rPr>
              <w:t>1</w:t>
            </w:r>
            <w:r>
              <w:rPr>
                <w:rFonts w:hint="eastAsia" w:ascii="宋体" w:cs="宋体"/>
                <w:szCs w:val="21"/>
              </w:rPr>
              <w:t>-</w:t>
            </w:r>
            <w:r>
              <w:rPr>
                <w:rFonts w:ascii="宋体" w:cs="宋体"/>
                <w:szCs w:val="21"/>
              </w:rPr>
              <w:t>03</w:t>
            </w:r>
          </w:p>
        </w:tc>
        <w:tc>
          <w:tcPr>
            <w:tcW w:w="1134" w:type="dxa"/>
            <w:tcBorders>
              <w:top w:val="single" w:color="auto" w:sz="4" w:space="0"/>
              <w:left w:val="single" w:color="auto" w:sz="8" w:space="0"/>
              <w:bottom w:val="single" w:color="auto" w:sz="8" w:space="0"/>
              <w:right w:val="single" w:color="auto" w:sz="8" w:space="0"/>
            </w:tcBorders>
            <w:noWrap/>
          </w:tcPr>
          <w:p>
            <w:pPr>
              <w:jc w:val="center"/>
              <w:rPr>
                <w:rFonts w:ascii="宋体" w:cs="宋体"/>
                <w:szCs w:val="21"/>
              </w:rPr>
            </w:pPr>
            <w:r>
              <w:rPr>
                <w:rFonts w:ascii="宋体" w:cs="宋体"/>
                <w:szCs w:val="21"/>
              </w:rPr>
              <w:t>11843557</w:t>
            </w:r>
          </w:p>
        </w:tc>
        <w:tc>
          <w:tcPr>
            <w:tcW w:w="850" w:type="dxa"/>
            <w:tcBorders>
              <w:top w:val="single" w:color="auto" w:sz="4" w:space="0"/>
              <w:left w:val="single" w:color="auto" w:sz="8" w:space="0"/>
              <w:bottom w:val="single" w:color="auto" w:sz="8" w:space="0"/>
              <w:right w:val="single" w:color="auto" w:sz="8" w:space="0"/>
            </w:tcBorders>
            <w:noWrap/>
          </w:tcPr>
          <w:p>
            <w:pPr>
              <w:jc w:val="center"/>
              <w:rPr>
                <w:rFonts w:ascii="宋体" w:cs="宋体"/>
                <w:szCs w:val="21"/>
              </w:rPr>
            </w:pPr>
            <w:r>
              <w:rPr>
                <w:rFonts w:hint="eastAsia" w:ascii="宋体" w:cs="宋体"/>
                <w:szCs w:val="21"/>
              </w:rPr>
              <w:t>刘茂</w:t>
            </w:r>
          </w:p>
        </w:tc>
        <w:tc>
          <w:tcPr>
            <w:tcW w:w="851" w:type="dxa"/>
            <w:tcBorders>
              <w:top w:val="single" w:color="auto" w:sz="4" w:space="0"/>
              <w:left w:val="single" w:color="auto" w:sz="8" w:space="0"/>
              <w:bottom w:val="single" w:color="auto" w:sz="8" w:space="0"/>
              <w:right w:val="single" w:color="auto" w:sz="8" w:space="0"/>
            </w:tcBorders>
            <w:noWrap/>
          </w:tcPr>
          <w:p>
            <w:pPr>
              <w:jc w:val="center"/>
              <w:rPr>
                <w:rFonts w:ascii="宋体" w:cs="宋体"/>
                <w:szCs w:val="21"/>
              </w:rPr>
            </w:pPr>
            <w:r>
              <w:rPr>
                <w:rFonts w:hint="eastAsia" w:ascii="宋体" w:cs="宋体"/>
                <w:szCs w:val="21"/>
              </w:rPr>
              <w:t>刘茂</w:t>
            </w:r>
          </w:p>
        </w:tc>
        <w:tc>
          <w:tcPr>
            <w:tcW w:w="1183" w:type="dxa"/>
            <w:tcBorders>
              <w:top w:val="single" w:color="auto" w:sz="4" w:space="0"/>
              <w:left w:val="single" w:color="auto" w:sz="8" w:space="0"/>
              <w:bottom w:val="single" w:color="auto" w:sz="8" w:space="0"/>
              <w:right w:val="single" w:color="auto" w:sz="8" w:space="0"/>
            </w:tcBorders>
            <w:noWrap/>
          </w:tcPr>
          <w:p>
            <w:pPr>
              <w:jc w:val="center"/>
              <w:rPr>
                <w:rFonts w:ascii="宋体" w:cs="宋体"/>
                <w:szCs w:val="21"/>
              </w:rPr>
            </w:pPr>
            <w:r>
              <w:rPr>
                <w:rFonts w:hint="eastAsia" w:ascii="宋体" w:cs="宋体"/>
                <w:szCs w:val="21"/>
              </w:rPr>
              <w:t>专利权有效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126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102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849"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99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1134"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85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851"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1183"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126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102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849"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99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1134"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85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851"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1183"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126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102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849"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99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1134"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85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851"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1183"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126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102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849"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99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1134"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85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851"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1183"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126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102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849"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99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1134"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85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851"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1183"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126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102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849"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99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1134"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85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851"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1183"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126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102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849"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99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1134"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85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851"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1183"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126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102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849"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992"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1134"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850"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851"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c>
          <w:tcPr>
            <w:tcW w:w="1183" w:type="dxa"/>
            <w:tcBorders>
              <w:top w:val="single" w:color="auto" w:sz="4" w:space="0"/>
              <w:left w:val="single" w:color="auto" w:sz="8" w:space="0"/>
              <w:bottom w:val="single" w:color="auto" w:sz="8" w:space="0"/>
              <w:right w:val="single" w:color="auto" w:sz="8" w:space="0"/>
            </w:tcBorders>
            <w:noWrap/>
          </w:tcPr>
          <w:p>
            <w:pPr>
              <w:spacing w:line="360" w:lineRule="auto"/>
              <w:jc w:val="center"/>
              <w:rPr>
                <w:rFonts w:ascii="宋体" w:cs="宋体"/>
                <w:szCs w:val="21"/>
              </w:rPr>
            </w:pPr>
          </w:p>
        </w:tc>
      </w:tr>
    </w:tbl>
    <w:p>
      <w:pPr>
        <w:widowControl/>
        <w:jc w:val="left"/>
        <w:rPr>
          <w:rFonts w:ascii="宋体" w:cs="Times New Roman"/>
          <w:b/>
          <w:color w:val="000000"/>
          <w:sz w:val="28"/>
          <w:szCs w:val="20"/>
        </w:rPr>
      </w:pPr>
      <w:r>
        <w:rPr>
          <w:rFonts w:ascii="宋体" w:cs="Times New Roman"/>
          <w:b/>
          <w:color w:val="000000"/>
          <w:sz w:val="28"/>
          <w:szCs w:val="20"/>
        </w:rPr>
        <w:br w:type="page"/>
      </w:r>
    </w:p>
    <w:p>
      <w:pPr>
        <w:spacing w:line="390" w:lineRule="exact"/>
        <w:jc w:val="center"/>
        <w:outlineLvl w:val="1"/>
        <w:rPr>
          <w:rFonts w:ascii="宋体"/>
          <w:b/>
          <w:color w:val="000000"/>
          <w:sz w:val="28"/>
          <w:u w:val="single"/>
        </w:rPr>
      </w:pPr>
      <w:r>
        <w:rPr>
          <w:rFonts w:hint="eastAsia" w:ascii="宋体" w:cs="Times New Roman"/>
          <w:b/>
          <w:color w:val="000000"/>
          <w:sz w:val="28"/>
          <w:szCs w:val="20"/>
        </w:rPr>
        <w:t>四、论文专著目录</w:t>
      </w:r>
      <w:r>
        <w:rPr>
          <w:rFonts w:hint="eastAsia" w:ascii="宋体" w:cs="宋体"/>
          <w:szCs w:val="21"/>
        </w:rPr>
        <w:t>（不超过5篇/部，非必填）</w:t>
      </w:r>
    </w:p>
    <w:tbl>
      <w:tblPr>
        <w:tblStyle w:val="8"/>
        <w:tblW w:w="102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701"/>
        <w:gridCol w:w="1134"/>
        <w:gridCol w:w="1276"/>
        <w:gridCol w:w="1275"/>
        <w:gridCol w:w="1276"/>
        <w:gridCol w:w="1134"/>
        <w:gridCol w:w="709"/>
        <w:gridCol w:w="709"/>
        <w:gridCol w:w="6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392" w:type="dxa"/>
            <w:vAlign w:val="center"/>
          </w:tcPr>
          <w:p>
            <w:pPr>
              <w:pStyle w:val="5"/>
              <w:adjustRightInd w:val="0"/>
              <w:spacing w:line="300" w:lineRule="exact"/>
              <w:ind w:firstLine="0" w:firstLineChars="0"/>
              <w:jc w:val="center"/>
              <w:outlineLvl w:val="1"/>
              <w:rPr>
                <w:rFonts w:ascii="Times New Roman" w:hAnsi="Times New Roman" w:eastAsia="仿宋"/>
                <w:color w:val="000000"/>
                <w:sz w:val="21"/>
                <w:szCs w:val="28"/>
              </w:rPr>
            </w:pPr>
            <w:r>
              <w:rPr>
                <w:rFonts w:ascii="Times New Roman" w:hAnsi="Times New Roman" w:eastAsia="仿宋"/>
                <w:color w:val="000000"/>
                <w:sz w:val="21"/>
                <w:szCs w:val="28"/>
              </w:rPr>
              <w:t>序号</w:t>
            </w:r>
          </w:p>
        </w:tc>
        <w:tc>
          <w:tcPr>
            <w:tcW w:w="1701" w:type="dxa"/>
            <w:vAlign w:val="center"/>
          </w:tcPr>
          <w:p>
            <w:pPr>
              <w:pStyle w:val="5"/>
              <w:adjustRightInd w:val="0"/>
              <w:spacing w:line="300" w:lineRule="exact"/>
              <w:ind w:firstLine="0" w:firstLineChars="0"/>
              <w:jc w:val="center"/>
              <w:outlineLvl w:val="1"/>
              <w:rPr>
                <w:rFonts w:ascii="Times New Roman" w:hAnsi="Times New Roman" w:eastAsia="仿宋"/>
                <w:color w:val="000000"/>
                <w:sz w:val="21"/>
                <w:szCs w:val="28"/>
              </w:rPr>
            </w:pPr>
            <w:r>
              <w:rPr>
                <w:rFonts w:ascii="Times New Roman" w:hAnsi="Times New Roman" w:eastAsia="仿宋"/>
                <w:color w:val="000000"/>
                <w:sz w:val="21"/>
                <w:szCs w:val="28"/>
              </w:rPr>
              <w:t>论文（专著）名称/刊名/作者</w:t>
            </w:r>
          </w:p>
        </w:tc>
        <w:tc>
          <w:tcPr>
            <w:tcW w:w="1134" w:type="dxa"/>
            <w:vAlign w:val="center"/>
          </w:tcPr>
          <w:p>
            <w:pPr>
              <w:pStyle w:val="5"/>
              <w:adjustRightInd w:val="0"/>
              <w:spacing w:line="280" w:lineRule="exact"/>
              <w:ind w:firstLine="0" w:firstLineChars="0"/>
              <w:jc w:val="center"/>
              <w:outlineLvl w:val="1"/>
              <w:rPr>
                <w:rFonts w:ascii="Times New Roman" w:hAnsi="Times New Roman" w:eastAsia="仿宋"/>
                <w:color w:val="000000"/>
                <w:sz w:val="21"/>
                <w:szCs w:val="28"/>
              </w:rPr>
            </w:pPr>
            <w:r>
              <w:rPr>
                <w:rFonts w:ascii="Times New Roman" w:hAnsi="Times New Roman" w:eastAsia="仿宋"/>
                <w:color w:val="000000"/>
                <w:sz w:val="21"/>
                <w:szCs w:val="28"/>
              </w:rPr>
              <w:t>年卷页码（xx年xx卷xx页）</w:t>
            </w:r>
          </w:p>
        </w:tc>
        <w:tc>
          <w:tcPr>
            <w:tcW w:w="1276" w:type="dxa"/>
            <w:vAlign w:val="center"/>
          </w:tcPr>
          <w:p>
            <w:pPr>
              <w:pStyle w:val="5"/>
              <w:adjustRightInd w:val="0"/>
              <w:spacing w:line="280" w:lineRule="exact"/>
              <w:ind w:firstLine="0" w:firstLineChars="0"/>
              <w:jc w:val="center"/>
              <w:outlineLvl w:val="1"/>
              <w:rPr>
                <w:rFonts w:ascii="Times New Roman" w:hAnsi="Times New Roman" w:eastAsia="仿宋"/>
                <w:color w:val="000000"/>
                <w:sz w:val="21"/>
                <w:szCs w:val="28"/>
              </w:rPr>
            </w:pPr>
            <w:r>
              <w:rPr>
                <w:rFonts w:ascii="Times New Roman" w:hAnsi="Times New Roman" w:eastAsia="仿宋"/>
                <w:color w:val="000000"/>
                <w:sz w:val="21"/>
                <w:szCs w:val="28"/>
              </w:rPr>
              <w:t>发表时间(年月日)</w:t>
            </w:r>
          </w:p>
        </w:tc>
        <w:tc>
          <w:tcPr>
            <w:tcW w:w="1275" w:type="dxa"/>
            <w:vAlign w:val="center"/>
          </w:tcPr>
          <w:p>
            <w:pPr>
              <w:pStyle w:val="5"/>
              <w:adjustRightInd w:val="0"/>
              <w:spacing w:line="300" w:lineRule="exact"/>
              <w:ind w:firstLine="0" w:firstLineChars="0"/>
              <w:jc w:val="center"/>
              <w:outlineLvl w:val="1"/>
              <w:rPr>
                <w:rFonts w:ascii="Times New Roman" w:hAnsi="Times New Roman" w:eastAsia="仿宋"/>
                <w:color w:val="000000"/>
                <w:sz w:val="21"/>
                <w:szCs w:val="28"/>
              </w:rPr>
            </w:pPr>
            <w:r>
              <w:rPr>
                <w:rFonts w:ascii="Times New Roman" w:hAnsi="Times New Roman" w:eastAsia="仿宋"/>
                <w:color w:val="000000"/>
                <w:sz w:val="21"/>
                <w:szCs w:val="28"/>
              </w:rPr>
              <w:t>通讯作者（含共同）</w:t>
            </w:r>
          </w:p>
        </w:tc>
        <w:tc>
          <w:tcPr>
            <w:tcW w:w="1276" w:type="dxa"/>
            <w:vAlign w:val="center"/>
          </w:tcPr>
          <w:p>
            <w:pPr>
              <w:pStyle w:val="5"/>
              <w:adjustRightInd w:val="0"/>
              <w:spacing w:line="300" w:lineRule="exact"/>
              <w:ind w:firstLine="0" w:firstLineChars="0"/>
              <w:jc w:val="center"/>
              <w:outlineLvl w:val="1"/>
              <w:rPr>
                <w:rFonts w:ascii="Times New Roman" w:hAnsi="Times New Roman" w:eastAsia="仿宋"/>
                <w:color w:val="000000"/>
                <w:sz w:val="21"/>
                <w:szCs w:val="28"/>
              </w:rPr>
            </w:pPr>
            <w:r>
              <w:rPr>
                <w:rFonts w:ascii="Times New Roman" w:hAnsi="Times New Roman" w:eastAsia="仿宋"/>
                <w:color w:val="000000"/>
                <w:sz w:val="21"/>
                <w:szCs w:val="28"/>
              </w:rPr>
              <w:t>第一作者（含共同）</w:t>
            </w:r>
          </w:p>
        </w:tc>
        <w:tc>
          <w:tcPr>
            <w:tcW w:w="1134" w:type="dxa"/>
            <w:vAlign w:val="center"/>
          </w:tcPr>
          <w:p>
            <w:pPr>
              <w:pStyle w:val="5"/>
              <w:adjustRightInd w:val="0"/>
              <w:spacing w:line="300" w:lineRule="exact"/>
              <w:ind w:firstLine="0" w:firstLineChars="0"/>
              <w:jc w:val="center"/>
              <w:outlineLvl w:val="1"/>
              <w:rPr>
                <w:rFonts w:ascii="Times New Roman" w:hAnsi="Times New Roman" w:eastAsia="仿宋"/>
                <w:color w:val="000000"/>
                <w:sz w:val="21"/>
                <w:szCs w:val="28"/>
              </w:rPr>
            </w:pPr>
            <w:r>
              <w:rPr>
                <w:rFonts w:ascii="Times New Roman" w:hAnsi="Times New Roman" w:eastAsia="仿宋"/>
                <w:color w:val="000000"/>
                <w:sz w:val="21"/>
                <w:szCs w:val="28"/>
              </w:rPr>
              <w:t>国内作者</w:t>
            </w:r>
          </w:p>
        </w:tc>
        <w:tc>
          <w:tcPr>
            <w:tcW w:w="709" w:type="dxa"/>
            <w:vAlign w:val="center"/>
          </w:tcPr>
          <w:p>
            <w:pPr>
              <w:pStyle w:val="5"/>
              <w:adjustRightInd w:val="0"/>
              <w:spacing w:line="300" w:lineRule="exact"/>
              <w:ind w:firstLine="0" w:firstLineChars="0"/>
              <w:jc w:val="center"/>
              <w:outlineLvl w:val="1"/>
              <w:rPr>
                <w:rFonts w:ascii="Times New Roman" w:hAnsi="Times New Roman" w:eastAsia="仿宋"/>
                <w:color w:val="000000"/>
                <w:sz w:val="21"/>
                <w:szCs w:val="28"/>
              </w:rPr>
            </w:pPr>
            <w:r>
              <w:rPr>
                <w:rFonts w:ascii="Times New Roman" w:hAnsi="Times New Roman" w:eastAsia="仿宋"/>
                <w:color w:val="000000"/>
                <w:sz w:val="21"/>
                <w:szCs w:val="28"/>
              </w:rPr>
              <w:t>他引总次数</w:t>
            </w:r>
          </w:p>
        </w:tc>
        <w:tc>
          <w:tcPr>
            <w:tcW w:w="709" w:type="dxa"/>
            <w:vAlign w:val="center"/>
          </w:tcPr>
          <w:p>
            <w:pPr>
              <w:pStyle w:val="5"/>
              <w:adjustRightInd w:val="0"/>
              <w:spacing w:line="300" w:lineRule="exact"/>
              <w:ind w:firstLine="0" w:firstLineChars="0"/>
              <w:jc w:val="center"/>
              <w:outlineLvl w:val="1"/>
              <w:rPr>
                <w:rFonts w:ascii="Times New Roman" w:hAnsi="Times New Roman" w:eastAsia="仿宋"/>
                <w:color w:val="000000"/>
                <w:sz w:val="21"/>
                <w:szCs w:val="28"/>
              </w:rPr>
            </w:pPr>
            <w:r>
              <w:rPr>
                <w:rFonts w:ascii="Times New Roman" w:hAnsi="Times New Roman" w:eastAsia="仿宋"/>
                <w:color w:val="000000"/>
                <w:sz w:val="21"/>
                <w:szCs w:val="28"/>
              </w:rPr>
              <w:t>检索数据库</w:t>
            </w:r>
          </w:p>
        </w:tc>
        <w:tc>
          <w:tcPr>
            <w:tcW w:w="644" w:type="dxa"/>
            <w:vAlign w:val="center"/>
          </w:tcPr>
          <w:p>
            <w:pPr>
              <w:pStyle w:val="5"/>
              <w:adjustRightInd w:val="0"/>
              <w:spacing w:line="280" w:lineRule="exact"/>
              <w:ind w:firstLine="0" w:firstLineChars="0"/>
              <w:jc w:val="center"/>
              <w:outlineLvl w:val="1"/>
              <w:rPr>
                <w:rFonts w:ascii="Times New Roman" w:hAnsi="Times New Roman" w:eastAsia="仿宋"/>
                <w:color w:val="000000"/>
                <w:sz w:val="21"/>
                <w:szCs w:val="28"/>
              </w:rPr>
            </w:pPr>
            <w:r>
              <w:rPr>
                <w:rFonts w:ascii="Times New Roman" w:hAnsi="Times New Roman" w:eastAsia="仿宋"/>
                <w:color w:val="000000"/>
                <w:sz w:val="21"/>
                <w:szCs w:val="28"/>
              </w:rPr>
              <w:t>论文署名单位是否包含国外单位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37" w:hRule="exact"/>
          <w:jc w:val="center"/>
        </w:trPr>
        <w:tc>
          <w:tcPr>
            <w:tcW w:w="392" w:type="dxa"/>
            <w:vAlign w:val="center"/>
          </w:tcPr>
          <w:p>
            <w:pPr>
              <w:pStyle w:val="5"/>
              <w:adjustRightInd w:val="0"/>
              <w:spacing w:line="320" w:lineRule="exact"/>
              <w:ind w:firstLine="0" w:firstLineChars="0"/>
              <w:jc w:val="center"/>
              <w:outlineLvl w:val="1"/>
              <w:rPr>
                <w:rFonts w:ascii="Times New Roman" w:hAnsi="Times New Roman" w:eastAsia="仿宋"/>
                <w:color w:val="000000"/>
                <w:sz w:val="21"/>
                <w:szCs w:val="28"/>
              </w:rPr>
            </w:pPr>
            <w:r>
              <w:rPr>
                <w:rFonts w:ascii="Times New Roman" w:hAnsi="Times New Roman" w:eastAsia="仿宋"/>
                <w:color w:val="000000"/>
                <w:sz w:val="21"/>
                <w:szCs w:val="28"/>
              </w:rPr>
              <w:t>1</w:t>
            </w:r>
          </w:p>
        </w:tc>
        <w:tc>
          <w:tcPr>
            <w:tcW w:w="1701" w:type="dxa"/>
            <w:vAlign w:val="center"/>
          </w:tcPr>
          <w:p>
            <w:pPr>
              <w:pStyle w:val="5"/>
              <w:adjustRightInd w:val="0"/>
              <w:spacing w:line="200" w:lineRule="exact"/>
              <w:ind w:firstLine="0" w:firstLineChars="0"/>
              <w:jc w:val="center"/>
              <w:outlineLvl w:val="1"/>
              <w:rPr>
                <w:rFonts w:ascii="Times New Roman" w:hAnsi="Times New Roman" w:eastAsia="仿宋"/>
                <w:color w:val="000000"/>
                <w:sz w:val="21"/>
                <w:szCs w:val="28"/>
              </w:rPr>
            </w:pPr>
            <w:r>
              <w:rPr>
                <w:rFonts w:ascii="Times New Roman" w:hAnsi="Times New Roman" w:eastAsia="仿宋"/>
                <w:color w:val="000000"/>
                <w:sz w:val="21"/>
                <w:szCs w:val="28"/>
              </w:rPr>
              <w:t>Association Between C1q/TNF-Related Protein-1 Levels in Human Plasma and Epicardial Adipose Tissues and Congestive Heart Failure /Cell Physiol Biochem/Ying Yang, Si Liu, Rong-Yi Zhang, Hui Luo, Ling Chen, Wen-Feng He, Rong Lei, Mu-Rong Liu, Hou-Xiang Hu, Mao Chen</w:t>
            </w:r>
          </w:p>
        </w:tc>
        <w:tc>
          <w:tcPr>
            <w:tcW w:w="1134" w:type="dxa"/>
            <w:vAlign w:val="center"/>
          </w:tcPr>
          <w:p>
            <w:pPr>
              <w:pStyle w:val="5"/>
              <w:adjustRightInd w:val="0"/>
              <w:spacing w:line="320" w:lineRule="exact"/>
              <w:ind w:firstLine="0" w:firstLineChars="0"/>
              <w:jc w:val="center"/>
              <w:outlineLvl w:val="1"/>
              <w:rPr>
                <w:rFonts w:ascii="Times New Roman" w:hAnsi="Times New Roman" w:eastAsia="仿宋"/>
                <w:color w:val="000000"/>
                <w:sz w:val="21"/>
                <w:szCs w:val="28"/>
              </w:rPr>
            </w:pPr>
            <w:r>
              <w:rPr>
                <w:rFonts w:ascii="Times New Roman" w:hAnsi="Times New Roman" w:eastAsia="仿宋"/>
                <w:color w:val="000000"/>
                <w:sz w:val="21"/>
                <w:szCs w:val="28"/>
              </w:rPr>
              <w:t>2017,42(5):2130-2143.</w:t>
            </w:r>
          </w:p>
        </w:tc>
        <w:tc>
          <w:tcPr>
            <w:tcW w:w="1276" w:type="dxa"/>
            <w:vAlign w:val="center"/>
          </w:tcPr>
          <w:p>
            <w:pPr>
              <w:pStyle w:val="5"/>
              <w:adjustRightInd w:val="0"/>
              <w:spacing w:line="320" w:lineRule="exact"/>
              <w:ind w:firstLine="0" w:firstLineChars="0"/>
              <w:jc w:val="center"/>
              <w:outlineLvl w:val="1"/>
              <w:rPr>
                <w:rFonts w:ascii="Times New Roman" w:hAnsi="Times New Roman" w:eastAsia="仿宋"/>
                <w:color w:val="000000"/>
                <w:sz w:val="21"/>
                <w:szCs w:val="28"/>
              </w:rPr>
            </w:pPr>
            <w:r>
              <w:rPr>
                <w:rFonts w:ascii="Times New Roman" w:hAnsi="Times New Roman" w:eastAsia="仿宋"/>
                <w:color w:val="000000"/>
                <w:sz w:val="21"/>
                <w:szCs w:val="28"/>
              </w:rPr>
              <w:t>2017.8.15</w:t>
            </w:r>
          </w:p>
        </w:tc>
        <w:tc>
          <w:tcPr>
            <w:tcW w:w="1275" w:type="dxa"/>
            <w:vAlign w:val="center"/>
          </w:tcPr>
          <w:p>
            <w:pPr>
              <w:pStyle w:val="5"/>
              <w:adjustRightInd w:val="0"/>
              <w:spacing w:line="200" w:lineRule="exact"/>
              <w:ind w:firstLine="0" w:firstLineChars="0"/>
              <w:jc w:val="center"/>
              <w:outlineLvl w:val="1"/>
              <w:rPr>
                <w:rFonts w:ascii="Times New Roman" w:hAnsi="Times New Roman" w:eastAsia="仿宋"/>
                <w:color w:val="000000"/>
                <w:sz w:val="21"/>
                <w:szCs w:val="28"/>
              </w:rPr>
            </w:pPr>
            <w:r>
              <w:rPr>
                <w:rFonts w:ascii="Times New Roman" w:hAnsi="Times New Roman" w:eastAsia="仿宋"/>
                <w:color w:val="000000"/>
                <w:sz w:val="21"/>
                <w:szCs w:val="28"/>
              </w:rPr>
              <w:t>Hou-Xiang Hu, Mao Chen</w:t>
            </w:r>
          </w:p>
        </w:tc>
        <w:tc>
          <w:tcPr>
            <w:tcW w:w="1276" w:type="dxa"/>
            <w:vAlign w:val="center"/>
          </w:tcPr>
          <w:p>
            <w:pPr>
              <w:pStyle w:val="5"/>
              <w:adjustRightInd w:val="0"/>
              <w:spacing w:line="200" w:lineRule="exact"/>
              <w:ind w:firstLine="0" w:firstLineChars="0"/>
              <w:jc w:val="center"/>
              <w:outlineLvl w:val="1"/>
              <w:rPr>
                <w:rFonts w:ascii="Times New Roman" w:hAnsi="Times New Roman" w:eastAsia="仿宋"/>
                <w:color w:val="000000"/>
                <w:sz w:val="21"/>
                <w:szCs w:val="28"/>
              </w:rPr>
            </w:pPr>
            <w:r>
              <w:rPr>
                <w:rFonts w:ascii="Times New Roman" w:hAnsi="Times New Roman" w:eastAsia="仿宋"/>
                <w:color w:val="000000"/>
                <w:sz w:val="21"/>
                <w:szCs w:val="28"/>
              </w:rPr>
              <w:t>Ying Yang, Si Liu, Rong-Yi Zhang</w:t>
            </w:r>
          </w:p>
        </w:tc>
        <w:tc>
          <w:tcPr>
            <w:tcW w:w="1134" w:type="dxa"/>
            <w:vAlign w:val="center"/>
          </w:tcPr>
          <w:p>
            <w:pPr>
              <w:pStyle w:val="5"/>
              <w:adjustRightInd w:val="0"/>
              <w:spacing w:line="200" w:lineRule="exact"/>
              <w:ind w:firstLine="0" w:firstLineChars="0"/>
              <w:jc w:val="center"/>
              <w:outlineLvl w:val="1"/>
              <w:rPr>
                <w:rFonts w:ascii="Times New Roman" w:hAnsi="Times New Roman" w:eastAsia="仿宋"/>
                <w:color w:val="000000"/>
                <w:sz w:val="21"/>
                <w:szCs w:val="28"/>
              </w:rPr>
            </w:pPr>
            <w:r>
              <w:rPr>
                <w:rFonts w:ascii="Times New Roman" w:hAnsi="Times New Roman" w:eastAsia="仿宋"/>
                <w:color w:val="000000"/>
                <w:sz w:val="21"/>
                <w:szCs w:val="28"/>
              </w:rPr>
              <w:t>Ying Yang, Si Liu, Rong-Yi Zhang, Hui Luo, Ling Chen, Wen-Feng He, Rong Lei, Mu-Rong Liu, Hou-Xiang Hu, Mao Chen</w:t>
            </w:r>
          </w:p>
        </w:tc>
        <w:tc>
          <w:tcPr>
            <w:tcW w:w="709" w:type="dxa"/>
            <w:vAlign w:val="center"/>
          </w:tcPr>
          <w:p>
            <w:pPr>
              <w:pStyle w:val="5"/>
              <w:adjustRightInd w:val="0"/>
              <w:spacing w:line="320" w:lineRule="exact"/>
              <w:ind w:firstLine="0" w:firstLineChars="0"/>
              <w:jc w:val="center"/>
              <w:outlineLvl w:val="1"/>
              <w:rPr>
                <w:rFonts w:ascii="Times New Roman" w:hAnsi="Times New Roman" w:eastAsia="仿宋"/>
                <w:color w:val="FF0000"/>
                <w:sz w:val="21"/>
                <w:szCs w:val="28"/>
              </w:rPr>
            </w:pPr>
            <w:r>
              <w:rPr>
                <w:rFonts w:ascii="Times New Roman" w:hAnsi="Times New Roman" w:eastAsia="仿宋"/>
                <w:sz w:val="21"/>
                <w:szCs w:val="28"/>
              </w:rPr>
              <w:t>31</w:t>
            </w:r>
          </w:p>
        </w:tc>
        <w:tc>
          <w:tcPr>
            <w:tcW w:w="709" w:type="dxa"/>
            <w:vAlign w:val="center"/>
          </w:tcPr>
          <w:p>
            <w:pPr>
              <w:pStyle w:val="5"/>
              <w:adjustRightInd w:val="0"/>
              <w:spacing w:line="200" w:lineRule="exact"/>
              <w:ind w:firstLine="0" w:firstLineChars="0"/>
              <w:jc w:val="center"/>
              <w:outlineLvl w:val="1"/>
              <w:rPr>
                <w:rFonts w:ascii="Times New Roman" w:hAnsi="Times New Roman" w:eastAsia="仿宋"/>
                <w:color w:val="000000"/>
                <w:sz w:val="21"/>
                <w:szCs w:val="28"/>
              </w:rPr>
            </w:pPr>
            <w:r>
              <w:rPr>
                <w:rFonts w:hint="eastAsia" w:ascii="Times New Roman" w:hAnsi="Times New Roman" w:eastAsia="仿宋"/>
                <w:color w:val="000000"/>
                <w:sz w:val="21"/>
                <w:szCs w:val="28"/>
              </w:rPr>
              <w:t>美国《科学引文索引（扩展库）》</w:t>
            </w:r>
          </w:p>
        </w:tc>
        <w:tc>
          <w:tcPr>
            <w:tcW w:w="644" w:type="dxa"/>
            <w:vAlign w:val="center"/>
          </w:tcPr>
          <w:p>
            <w:pPr>
              <w:pStyle w:val="5"/>
              <w:adjustRightInd w:val="0"/>
              <w:spacing w:line="320" w:lineRule="exact"/>
              <w:ind w:firstLine="0" w:firstLineChars="0"/>
              <w:jc w:val="center"/>
              <w:outlineLvl w:val="1"/>
              <w:rPr>
                <w:rFonts w:ascii="Times New Roman" w:hAnsi="Times New Roman" w:eastAsia="仿宋"/>
                <w:color w:val="000000"/>
                <w:sz w:val="21"/>
                <w:szCs w:val="28"/>
              </w:rPr>
            </w:pPr>
            <w:r>
              <w:rPr>
                <w:rFonts w:ascii="Times New Roman" w:hAnsi="Times New Roman" w:eastAsia="仿宋"/>
                <w:color w:val="000000"/>
                <w:sz w:val="21"/>
                <w:szCs w:val="2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79" w:hRule="exact"/>
          <w:jc w:val="center"/>
        </w:trPr>
        <w:tc>
          <w:tcPr>
            <w:tcW w:w="392" w:type="dxa"/>
            <w:vAlign w:val="center"/>
          </w:tcPr>
          <w:p>
            <w:pPr>
              <w:pStyle w:val="5"/>
              <w:adjustRightInd w:val="0"/>
              <w:spacing w:line="320" w:lineRule="exact"/>
              <w:ind w:firstLine="0" w:firstLineChars="0"/>
              <w:jc w:val="center"/>
              <w:outlineLvl w:val="1"/>
              <w:rPr>
                <w:rFonts w:ascii="Times New Roman" w:hAnsi="Times New Roman" w:eastAsia="仿宋"/>
                <w:color w:val="000000"/>
                <w:sz w:val="21"/>
                <w:szCs w:val="28"/>
              </w:rPr>
            </w:pPr>
            <w:r>
              <w:rPr>
                <w:rFonts w:ascii="Times New Roman" w:hAnsi="Times New Roman" w:eastAsia="仿宋"/>
                <w:color w:val="000000"/>
                <w:sz w:val="21"/>
                <w:szCs w:val="28"/>
              </w:rPr>
              <w:t>2</w:t>
            </w:r>
          </w:p>
        </w:tc>
        <w:tc>
          <w:tcPr>
            <w:tcW w:w="1701" w:type="dxa"/>
            <w:vAlign w:val="center"/>
          </w:tcPr>
          <w:p>
            <w:pPr>
              <w:pStyle w:val="5"/>
              <w:adjustRightInd w:val="0"/>
              <w:spacing w:line="200" w:lineRule="exact"/>
              <w:ind w:firstLine="0" w:firstLineChars="0"/>
              <w:jc w:val="center"/>
              <w:outlineLvl w:val="1"/>
              <w:rPr>
                <w:rFonts w:ascii="Times New Roman" w:hAnsi="Times New Roman" w:eastAsia="仿宋"/>
                <w:color w:val="000000"/>
                <w:sz w:val="21"/>
                <w:szCs w:val="28"/>
              </w:rPr>
            </w:pPr>
            <w:r>
              <w:rPr>
                <w:rFonts w:ascii="Times New Roman" w:hAnsi="Times New Roman" w:eastAsia="仿宋"/>
                <w:color w:val="000000"/>
                <w:sz w:val="21"/>
                <w:szCs w:val="28"/>
              </w:rPr>
              <w:t>Establishment of a New Abdominal Aortic Aneurysm Model in Rats by a Retroperitoneal Approach/Front Cardiovasc Med/Jun Xing Zhu, Quan Qiao Tang, Can Zhou, Xing Chi Shi, Si Yi Yi, Ying Yang</w:t>
            </w:r>
          </w:p>
        </w:tc>
        <w:tc>
          <w:tcPr>
            <w:tcW w:w="1134" w:type="dxa"/>
            <w:vAlign w:val="center"/>
          </w:tcPr>
          <w:p>
            <w:pPr>
              <w:pStyle w:val="5"/>
              <w:adjustRightInd w:val="0"/>
              <w:spacing w:line="200" w:lineRule="exact"/>
              <w:ind w:firstLine="0" w:firstLineChars="0"/>
              <w:jc w:val="center"/>
              <w:outlineLvl w:val="1"/>
              <w:rPr>
                <w:rFonts w:ascii="Times New Roman" w:hAnsi="Times New Roman" w:eastAsia="仿宋"/>
                <w:color w:val="000000"/>
                <w:sz w:val="21"/>
                <w:szCs w:val="28"/>
              </w:rPr>
            </w:pPr>
            <w:r>
              <w:rPr>
                <w:rFonts w:ascii="Times New Roman" w:hAnsi="Times New Roman" w:eastAsia="仿宋"/>
                <w:color w:val="000000"/>
                <w:sz w:val="21"/>
                <w:szCs w:val="28"/>
              </w:rPr>
              <w:t>2022,9:808732.</w:t>
            </w:r>
          </w:p>
        </w:tc>
        <w:tc>
          <w:tcPr>
            <w:tcW w:w="1276" w:type="dxa"/>
            <w:vAlign w:val="center"/>
          </w:tcPr>
          <w:p>
            <w:pPr>
              <w:pStyle w:val="5"/>
              <w:adjustRightInd w:val="0"/>
              <w:spacing w:line="200" w:lineRule="exact"/>
              <w:ind w:firstLine="0" w:firstLineChars="0"/>
              <w:jc w:val="center"/>
              <w:outlineLvl w:val="1"/>
              <w:rPr>
                <w:rFonts w:ascii="Times New Roman" w:hAnsi="Times New Roman" w:eastAsia="仿宋"/>
                <w:color w:val="000000"/>
                <w:sz w:val="21"/>
                <w:szCs w:val="28"/>
              </w:rPr>
            </w:pPr>
            <w:r>
              <w:rPr>
                <w:rFonts w:ascii="Times New Roman" w:hAnsi="Times New Roman" w:eastAsia="仿宋"/>
                <w:color w:val="000000"/>
                <w:sz w:val="21"/>
                <w:szCs w:val="28"/>
              </w:rPr>
              <w:t>2022.2.23</w:t>
            </w:r>
          </w:p>
        </w:tc>
        <w:tc>
          <w:tcPr>
            <w:tcW w:w="1275" w:type="dxa"/>
            <w:vAlign w:val="center"/>
          </w:tcPr>
          <w:p>
            <w:pPr>
              <w:pStyle w:val="5"/>
              <w:adjustRightInd w:val="0"/>
              <w:spacing w:line="200" w:lineRule="exact"/>
              <w:ind w:firstLine="0" w:firstLineChars="0"/>
              <w:jc w:val="center"/>
              <w:outlineLvl w:val="1"/>
              <w:rPr>
                <w:rFonts w:ascii="Times New Roman" w:hAnsi="Times New Roman" w:eastAsia="仿宋"/>
                <w:color w:val="000000"/>
                <w:sz w:val="21"/>
                <w:szCs w:val="28"/>
              </w:rPr>
            </w:pPr>
            <w:r>
              <w:rPr>
                <w:rFonts w:ascii="Times New Roman" w:hAnsi="Times New Roman" w:eastAsia="仿宋"/>
                <w:color w:val="000000"/>
                <w:sz w:val="21"/>
                <w:szCs w:val="28"/>
              </w:rPr>
              <w:t>Ying Yang</w:t>
            </w:r>
          </w:p>
        </w:tc>
        <w:tc>
          <w:tcPr>
            <w:tcW w:w="1276" w:type="dxa"/>
            <w:vAlign w:val="center"/>
          </w:tcPr>
          <w:p>
            <w:pPr>
              <w:pStyle w:val="5"/>
              <w:adjustRightInd w:val="0"/>
              <w:spacing w:line="200" w:lineRule="exact"/>
              <w:ind w:firstLine="0" w:firstLineChars="0"/>
              <w:jc w:val="center"/>
              <w:outlineLvl w:val="1"/>
              <w:rPr>
                <w:rFonts w:ascii="Times New Roman" w:hAnsi="Times New Roman" w:eastAsia="仿宋"/>
                <w:color w:val="000000"/>
                <w:sz w:val="21"/>
                <w:szCs w:val="28"/>
              </w:rPr>
            </w:pPr>
            <w:r>
              <w:rPr>
                <w:rFonts w:ascii="Times New Roman" w:hAnsi="Times New Roman" w:eastAsia="仿宋"/>
                <w:color w:val="000000"/>
                <w:sz w:val="21"/>
                <w:szCs w:val="28"/>
              </w:rPr>
              <w:t>Jun Xing Zhu</w:t>
            </w:r>
          </w:p>
        </w:tc>
        <w:tc>
          <w:tcPr>
            <w:tcW w:w="1134" w:type="dxa"/>
            <w:vAlign w:val="center"/>
          </w:tcPr>
          <w:p>
            <w:pPr>
              <w:pStyle w:val="5"/>
              <w:adjustRightInd w:val="0"/>
              <w:spacing w:line="200" w:lineRule="exact"/>
              <w:ind w:firstLine="0" w:firstLineChars="0"/>
              <w:jc w:val="center"/>
              <w:outlineLvl w:val="1"/>
              <w:rPr>
                <w:rFonts w:ascii="Times New Roman" w:hAnsi="Times New Roman" w:eastAsia="仿宋"/>
                <w:color w:val="000000"/>
                <w:sz w:val="21"/>
                <w:szCs w:val="28"/>
              </w:rPr>
            </w:pPr>
            <w:r>
              <w:rPr>
                <w:rFonts w:ascii="Times New Roman" w:hAnsi="Times New Roman" w:eastAsia="仿宋"/>
                <w:color w:val="000000"/>
                <w:sz w:val="21"/>
                <w:szCs w:val="28"/>
              </w:rPr>
              <w:t>Jun Xing Zhu, Quan Qiao Tang, Can Zhou, Xing Chi Shi, Si Yi Yi, Ying Yang</w:t>
            </w:r>
          </w:p>
        </w:tc>
        <w:tc>
          <w:tcPr>
            <w:tcW w:w="709" w:type="dxa"/>
            <w:vAlign w:val="center"/>
          </w:tcPr>
          <w:p>
            <w:pPr>
              <w:pStyle w:val="5"/>
              <w:adjustRightInd w:val="0"/>
              <w:spacing w:line="200" w:lineRule="exact"/>
              <w:ind w:firstLine="0" w:firstLineChars="0"/>
              <w:jc w:val="center"/>
              <w:outlineLvl w:val="1"/>
              <w:rPr>
                <w:rFonts w:ascii="Times New Roman" w:hAnsi="Times New Roman" w:eastAsia="仿宋"/>
                <w:color w:val="FF0000"/>
                <w:sz w:val="21"/>
                <w:szCs w:val="28"/>
              </w:rPr>
            </w:pPr>
            <w:r>
              <w:rPr>
                <w:rFonts w:ascii="Times New Roman" w:hAnsi="Times New Roman" w:eastAsia="仿宋"/>
                <w:sz w:val="21"/>
                <w:szCs w:val="28"/>
              </w:rPr>
              <w:t>1</w:t>
            </w:r>
          </w:p>
        </w:tc>
        <w:tc>
          <w:tcPr>
            <w:tcW w:w="709" w:type="dxa"/>
            <w:vAlign w:val="center"/>
          </w:tcPr>
          <w:p>
            <w:pPr>
              <w:pStyle w:val="5"/>
              <w:adjustRightInd w:val="0"/>
              <w:spacing w:line="200" w:lineRule="exact"/>
              <w:ind w:firstLine="0" w:firstLineChars="0"/>
              <w:jc w:val="center"/>
              <w:outlineLvl w:val="1"/>
              <w:rPr>
                <w:rFonts w:ascii="Times New Roman" w:hAnsi="Times New Roman" w:eastAsia="仿宋"/>
                <w:color w:val="000000"/>
                <w:sz w:val="21"/>
                <w:szCs w:val="28"/>
              </w:rPr>
            </w:pPr>
            <w:r>
              <w:rPr>
                <w:rFonts w:hint="eastAsia" w:ascii="Times New Roman" w:hAnsi="Times New Roman" w:eastAsia="仿宋"/>
                <w:color w:val="000000"/>
                <w:sz w:val="21"/>
                <w:szCs w:val="28"/>
              </w:rPr>
              <w:t>美国《科学引文索引（扩展库）》</w:t>
            </w:r>
          </w:p>
        </w:tc>
        <w:tc>
          <w:tcPr>
            <w:tcW w:w="644" w:type="dxa"/>
            <w:vAlign w:val="center"/>
          </w:tcPr>
          <w:p>
            <w:pPr>
              <w:pStyle w:val="5"/>
              <w:adjustRightInd w:val="0"/>
              <w:spacing w:line="200" w:lineRule="exact"/>
              <w:ind w:firstLine="0" w:firstLineChars="0"/>
              <w:jc w:val="center"/>
              <w:outlineLvl w:val="1"/>
              <w:rPr>
                <w:rFonts w:ascii="Times New Roman" w:hAnsi="Times New Roman" w:eastAsia="仿宋"/>
                <w:color w:val="000000"/>
                <w:sz w:val="21"/>
                <w:szCs w:val="28"/>
              </w:rPr>
            </w:pPr>
            <w:r>
              <w:rPr>
                <w:rFonts w:ascii="Times New Roman" w:hAnsi="Times New Roman" w:eastAsia="仿宋"/>
                <w:color w:val="000000"/>
                <w:sz w:val="21"/>
                <w:szCs w:val="2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53" w:hRule="exact"/>
          <w:jc w:val="center"/>
        </w:trPr>
        <w:tc>
          <w:tcPr>
            <w:tcW w:w="392" w:type="dxa"/>
            <w:vAlign w:val="center"/>
          </w:tcPr>
          <w:p>
            <w:pPr>
              <w:pStyle w:val="5"/>
              <w:adjustRightInd w:val="0"/>
              <w:spacing w:line="320" w:lineRule="exact"/>
              <w:ind w:firstLine="0" w:firstLineChars="0"/>
              <w:jc w:val="center"/>
              <w:outlineLvl w:val="1"/>
              <w:rPr>
                <w:rFonts w:ascii="Times New Roman" w:hAnsi="Times New Roman" w:eastAsia="仿宋"/>
                <w:color w:val="000000"/>
                <w:sz w:val="21"/>
                <w:szCs w:val="28"/>
              </w:rPr>
            </w:pPr>
            <w:r>
              <w:rPr>
                <w:rFonts w:ascii="Times New Roman" w:hAnsi="Times New Roman" w:eastAsia="仿宋"/>
                <w:color w:val="000000"/>
                <w:sz w:val="21"/>
                <w:szCs w:val="28"/>
              </w:rPr>
              <w:t>3</w:t>
            </w:r>
          </w:p>
        </w:tc>
        <w:tc>
          <w:tcPr>
            <w:tcW w:w="1701" w:type="dxa"/>
            <w:vAlign w:val="center"/>
          </w:tcPr>
          <w:p>
            <w:pPr>
              <w:pStyle w:val="5"/>
              <w:adjustRightInd w:val="0"/>
              <w:spacing w:line="200" w:lineRule="exact"/>
              <w:ind w:firstLine="0" w:firstLineChars="0"/>
              <w:jc w:val="center"/>
              <w:outlineLvl w:val="1"/>
              <w:rPr>
                <w:rFonts w:ascii="Times New Roman" w:hAnsi="Times New Roman" w:eastAsia="仿宋"/>
                <w:color w:val="000000"/>
                <w:sz w:val="21"/>
                <w:szCs w:val="28"/>
              </w:rPr>
            </w:pPr>
            <w:r>
              <w:rPr>
                <w:rFonts w:ascii="Times New Roman" w:hAnsi="Times New Roman" w:eastAsia="仿宋"/>
                <w:color w:val="000000"/>
                <w:sz w:val="21"/>
                <w:szCs w:val="28"/>
              </w:rPr>
              <w:t>Triptolide alleviates isoprenaline-induced cardiac remodeling in rats via TGF-β1/Smad3 and p38 MAPK signaling pathway/Pharmazie/Liu Mao, Chen Jian, Huang Yongquan, Ke Jianting, Li Lingling, Huang Dan, Wu Wei</w:t>
            </w:r>
          </w:p>
        </w:tc>
        <w:tc>
          <w:tcPr>
            <w:tcW w:w="1134" w:type="dxa"/>
            <w:vAlign w:val="center"/>
          </w:tcPr>
          <w:p>
            <w:pPr>
              <w:pStyle w:val="5"/>
              <w:adjustRightInd w:val="0"/>
              <w:spacing w:line="200" w:lineRule="exact"/>
              <w:ind w:firstLine="0" w:firstLineChars="0"/>
              <w:jc w:val="center"/>
              <w:outlineLvl w:val="1"/>
              <w:rPr>
                <w:rFonts w:ascii="Times New Roman" w:hAnsi="Times New Roman" w:eastAsia="仿宋"/>
                <w:color w:val="000000"/>
                <w:sz w:val="21"/>
                <w:szCs w:val="28"/>
              </w:rPr>
            </w:pPr>
            <w:r>
              <w:rPr>
                <w:rFonts w:ascii="Times New Roman" w:hAnsi="Times New Roman" w:eastAsia="仿宋"/>
                <w:color w:val="000000"/>
                <w:sz w:val="21"/>
                <w:szCs w:val="28"/>
              </w:rPr>
              <w:t>2015, 70(4):244-250.</w:t>
            </w:r>
          </w:p>
        </w:tc>
        <w:tc>
          <w:tcPr>
            <w:tcW w:w="1276" w:type="dxa"/>
            <w:vAlign w:val="center"/>
          </w:tcPr>
          <w:p>
            <w:pPr>
              <w:pStyle w:val="5"/>
              <w:adjustRightInd w:val="0"/>
              <w:spacing w:line="200" w:lineRule="exact"/>
              <w:ind w:firstLine="0" w:firstLineChars="0"/>
              <w:jc w:val="center"/>
              <w:outlineLvl w:val="1"/>
              <w:rPr>
                <w:rFonts w:ascii="Times New Roman" w:hAnsi="Times New Roman" w:eastAsia="仿宋"/>
                <w:color w:val="000000"/>
                <w:sz w:val="21"/>
                <w:szCs w:val="28"/>
              </w:rPr>
            </w:pPr>
            <w:r>
              <w:rPr>
                <w:rFonts w:ascii="Times New Roman" w:hAnsi="Times New Roman" w:eastAsia="仿宋"/>
                <w:color w:val="000000"/>
                <w:sz w:val="21"/>
                <w:szCs w:val="28"/>
              </w:rPr>
              <w:t>2015.4.1</w:t>
            </w:r>
          </w:p>
        </w:tc>
        <w:tc>
          <w:tcPr>
            <w:tcW w:w="1275" w:type="dxa"/>
            <w:vAlign w:val="center"/>
          </w:tcPr>
          <w:p>
            <w:pPr>
              <w:pStyle w:val="5"/>
              <w:adjustRightInd w:val="0"/>
              <w:spacing w:line="200" w:lineRule="exact"/>
              <w:ind w:firstLine="0" w:firstLineChars="0"/>
              <w:jc w:val="center"/>
              <w:outlineLvl w:val="1"/>
              <w:rPr>
                <w:rFonts w:ascii="Times New Roman" w:hAnsi="Times New Roman" w:eastAsia="仿宋"/>
                <w:color w:val="000000"/>
                <w:sz w:val="21"/>
                <w:szCs w:val="28"/>
              </w:rPr>
            </w:pPr>
            <w:r>
              <w:rPr>
                <w:rFonts w:ascii="Times New Roman" w:hAnsi="Times New Roman" w:eastAsia="仿宋"/>
                <w:color w:val="000000"/>
                <w:sz w:val="21"/>
                <w:szCs w:val="28"/>
              </w:rPr>
              <w:t>Wu Wei</w:t>
            </w:r>
          </w:p>
        </w:tc>
        <w:tc>
          <w:tcPr>
            <w:tcW w:w="1276" w:type="dxa"/>
            <w:vAlign w:val="center"/>
          </w:tcPr>
          <w:p>
            <w:pPr>
              <w:pStyle w:val="5"/>
              <w:adjustRightInd w:val="0"/>
              <w:spacing w:line="200" w:lineRule="exact"/>
              <w:ind w:firstLine="0" w:firstLineChars="0"/>
              <w:jc w:val="center"/>
              <w:outlineLvl w:val="1"/>
              <w:rPr>
                <w:rFonts w:ascii="Times New Roman" w:hAnsi="Times New Roman" w:eastAsia="仿宋"/>
                <w:color w:val="000000"/>
                <w:sz w:val="21"/>
                <w:szCs w:val="28"/>
              </w:rPr>
            </w:pPr>
            <w:r>
              <w:rPr>
                <w:rFonts w:ascii="Times New Roman" w:hAnsi="Times New Roman" w:eastAsia="仿宋"/>
                <w:color w:val="000000"/>
                <w:sz w:val="21"/>
                <w:szCs w:val="28"/>
              </w:rPr>
              <w:t>Liu Mao, Chen Jian</w:t>
            </w:r>
          </w:p>
        </w:tc>
        <w:tc>
          <w:tcPr>
            <w:tcW w:w="1134" w:type="dxa"/>
            <w:vAlign w:val="center"/>
          </w:tcPr>
          <w:p>
            <w:pPr>
              <w:pStyle w:val="5"/>
              <w:adjustRightInd w:val="0"/>
              <w:spacing w:line="200" w:lineRule="exact"/>
              <w:ind w:firstLine="0" w:firstLineChars="0"/>
              <w:jc w:val="center"/>
              <w:outlineLvl w:val="1"/>
              <w:rPr>
                <w:rFonts w:ascii="Times New Roman" w:hAnsi="Times New Roman" w:eastAsia="仿宋"/>
                <w:color w:val="000000"/>
                <w:sz w:val="21"/>
                <w:szCs w:val="28"/>
              </w:rPr>
            </w:pPr>
            <w:r>
              <w:rPr>
                <w:rFonts w:ascii="Times New Roman" w:hAnsi="Times New Roman" w:eastAsia="仿宋"/>
                <w:color w:val="000000"/>
                <w:sz w:val="21"/>
                <w:szCs w:val="28"/>
              </w:rPr>
              <w:t>Liu Mao, Chen Jian, Huang Yongquan, Ke Jianting, Li Lingling, Huang Dan, Wu Wei</w:t>
            </w:r>
          </w:p>
        </w:tc>
        <w:tc>
          <w:tcPr>
            <w:tcW w:w="709" w:type="dxa"/>
            <w:vAlign w:val="center"/>
          </w:tcPr>
          <w:p>
            <w:pPr>
              <w:pStyle w:val="5"/>
              <w:adjustRightInd w:val="0"/>
              <w:spacing w:line="200" w:lineRule="exact"/>
              <w:ind w:firstLine="0" w:firstLineChars="0"/>
              <w:jc w:val="center"/>
              <w:outlineLvl w:val="1"/>
              <w:rPr>
                <w:rFonts w:ascii="Times New Roman" w:hAnsi="Times New Roman" w:eastAsia="仿宋"/>
                <w:color w:val="FF0000"/>
                <w:sz w:val="21"/>
                <w:szCs w:val="28"/>
              </w:rPr>
            </w:pPr>
            <w:r>
              <w:rPr>
                <w:rFonts w:ascii="Times New Roman" w:hAnsi="Times New Roman" w:eastAsia="仿宋"/>
                <w:sz w:val="21"/>
                <w:szCs w:val="28"/>
              </w:rPr>
              <w:t>17</w:t>
            </w:r>
          </w:p>
        </w:tc>
        <w:tc>
          <w:tcPr>
            <w:tcW w:w="709" w:type="dxa"/>
            <w:vAlign w:val="center"/>
          </w:tcPr>
          <w:p>
            <w:pPr>
              <w:pStyle w:val="5"/>
              <w:adjustRightInd w:val="0"/>
              <w:spacing w:line="200" w:lineRule="exact"/>
              <w:ind w:firstLine="0" w:firstLineChars="0"/>
              <w:jc w:val="center"/>
              <w:outlineLvl w:val="1"/>
              <w:rPr>
                <w:rFonts w:ascii="Times New Roman" w:hAnsi="Times New Roman" w:eastAsia="仿宋"/>
                <w:color w:val="000000"/>
                <w:sz w:val="21"/>
                <w:szCs w:val="28"/>
              </w:rPr>
            </w:pPr>
            <w:r>
              <w:rPr>
                <w:rFonts w:hint="eastAsia" w:ascii="Times New Roman" w:hAnsi="Times New Roman" w:eastAsia="仿宋"/>
                <w:color w:val="000000"/>
                <w:sz w:val="21"/>
                <w:szCs w:val="28"/>
              </w:rPr>
              <w:t>美国《科学引文索引（扩展库）》</w:t>
            </w:r>
          </w:p>
        </w:tc>
        <w:tc>
          <w:tcPr>
            <w:tcW w:w="644" w:type="dxa"/>
            <w:vAlign w:val="center"/>
          </w:tcPr>
          <w:p>
            <w:pPr>
              <w:pStyle w:val="5"/>
              <w:adjustRightInd w:val="0"/>
              <w:spacing w:line="200" w:lineRule="exact"/>
              <w:ind w:firstLine="0" w:firstLineChars="0"/>
              <w:jc w:val="center"/>
              <w:outlineLvl w:val="1"/>
              <w:rPr>
                <w:rFonts w:ascii="Times New Roman" w:hAnsi="Times New Roman" w:eastAsia="仿宋"/>
                <w:color w:val="000000"/>
                <w:sz w:val="21"/>
                <w:szCs w:val="28"/>
              </w:rPr>
            </w:pPr>
            <w:r>
              <w:rPr>
                <w:rFonts w:ascii="Times New Roman" w:hAnsi="Times New Roman" w:eastAsia="仿宋"/>
                <w:color w:val="000000"/>
                <w:sz w:val="21"/>
                <w:szCs w:val="2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74" w:hRule="exact"/>
          <w:jc w:val="center"/>
        </w:trPr>
        <w:tc>
          <w:tcPr>
            <w:tcW w:w="392" w:type="dxa"/>
            <w:vAlign w:val="center"/>
          </w:tcPr>
          <w:p>
            <w:pPr>
              <w:pStyle w:val="5"/>
              <w:adjustRightInd w:val="0"/>
              <w:spacing w:line="320" w:lineRule="exact"/>
              <w:ind w:firstLine="0" w:firstLineChars="0"/>
              <w:jc w:val="center"/>
              <w:outlineLvl w:val="1"/>
              <w:rPr>
                <w:rFonts w:ascii="Times New Roman" w:hAnsi="Times New Roman" w:eastAsia="仿宋"/>
                <w:color w:val="000000"/>
                <w:sz w:val="21"/>
                <w:szCs w:val="28"/>
              </w:rPr>
            </w:pPr>
            <w:r>
              <w:rPr>
                <w:rFonts w:ascii="Times New Roman" w:hAnsi="Times New Roman" w:eastAsia="仿宋"/>
                <w:color w:val="000000"/>
                <w:sz w:val="21"/>
                <w:szCs w:val="28"/>
              </w:rPr>
              <w:t>4</w:t>
            </w:r>
          </w:p>
        </w:tc>
        <w:tc>
          <w:tcPr>
            <w:tcW w:w="1701" w:type="dxa"/>
            <w:vAlign w:val="center"/>
          </w:tcPr>
          <w:p>
            <w:pPr>
              <w:pStyle w:val="5"/>
              <w:adjustRightInd w:val="0"/>
              <w:spacing w:line="240" w:lineRule="exact"/>
              <w:ind w:firstLine="0" w:firstLineChars="0"/>
              <w:jc w:val="center"/>
              <w:outlineLvl w:val="1"/>
              <w:rPr>
                <w:rFonts w:ascii="Times New Roman" w:hAnsi="Times New Roman" w:eastAsia="仿宋"/>
                <w:color w:val="000000"/>
                <w:sz w:val="21"/>
                <w:szCs w:val="28"/>
              </w:rPr>
            </w:pPr>
            <w:r>
              <w:rPr>
                <w:rFonts w:ascii="Times New Roman" w:hAnsi="Times New Roman" w:eastAsia="仿宋"/>
                <w:color w:val="000000"/>
                <w:sz w:val="21"/>
                <w:szCs w:val="28"/>
              </w:rPr>
              <w:t>雷公藤内酯上调PTEN信号通路减轻异丙肾上腺素诱导的慢性心力衰竭大鼠心室重构/中山大学学报（医学科学版）/刘茂, 陈剑, 姚婕榕, 谭广毅, 伍卫</w:t>
            </w:r>
          </w:p>
        </w:tc>
        <w:tc>
          <w:tcPr>
            <w:tcW w:w="1134" w:type="dxa"/>
            <w:vAlign w:val="center"/>
          </w:tcPr>
          <w:p>
            <w:pPr>
              <w:pStyle w:val="5"/>
              <w:adjustRightInd w:val="0"/>
              <w:spacing w:line="200" w:lineRule="exact"/>
              <w:ind w:firstLine="0" w:firstLineChars="0"/>
              <w:jc w:val="center"/>
              <w:outlineLvl w:val="1"/>
              <w:rPr>
                <w:rFonts w:ascii="Times New Roman" w:hAnsi="Times New Roman" w:eastAsia="仿宋"/>
                <w:color w:val="000000"/>
                <w:sz w:val="21"/>
                <w:szCs w:val="28"/>
              </w:rPr>
            </w:pPr>
            <w:r>
              <w:rPr>
                <w:rFonts w:ascii="Times New Roman" w:hAnsi="Times New Roman" w:eastAsia="仿宋"/>
                <w:color w:val="000000"/>
                <w:sz w:val="21"/>
                <w:szCs w:val="28"/>
              </w:rPr>
              <w:t>2017, 38(1):29-35.</w:t>
            </w:r>
          </w:p>
        </w:tc>
        <w:tc>
          <w:tcPr>
            <w:tcW w:w="1276" w:type="dxa"/>
            <w:vAlign w:val="center"/>
          </w:tcPr>
          <w:p>
            <w:pPr>
              <w:pStyle w:val="5"/>
              <w:adjustRightInd w:val="0"/>
              <w:spacing w:line="200" w:lineRule="exact"/>
              <w:ind w:firstLine="0" w:firstLineChars="0"/>
              <w:jc w:val="center"/>
              <w:outlineLvl w:val="1"/>
              <w:rPr>
                <w:rFonts w:ascii="Times New Roman" w:hAnsi="Times New Roman" w:eastAsia="仿宋"/>
                <w:color w:val="000000"/>
                <w:sz w:val="21"/>
                <w:szCs w:val="28"/>
              </w:rPr>
            </w:pPr>
            <w:r>
              <w:rPr>
                <w:rFonts w:ascii="Times New Roman" w:hAnsi="Times New Roman" w:eastAsia="仿宋"/>
                <w:color w:val="000000"/>
                <w:sz w:val="21"/>
                <w:szCs w:val="28"/>
              </w:rPr>
              <w:t>2017.3.17</w:t>
            </w:r>
          </w:p>
        </w:tc>
        <w:tc>
          <w:tcPr>
            <w:tcW w:w="1275" w:type="dxa"/>
            <w:vAlign w:val="center"/>
          </w:tcPr>
          <w:p>
            <w:pPr>
              <w:pStyle w:val="5"/>
              <w:adjustRightInd w:val="0"/>
              <w:spacing w:line="200" w:lineRule="exact"/>
              <w:ind w:firstLine="0" w:firstLineChars="0"/>
              <w:jc w:val="center"/>
              <w:outlineLvl w:val="1"/>
              <w:rPr>
                <w:rFonts w:ascii="Times New Roman" w:hAnsi="Times New Roman" w:eastAsia="仿宋"/>
                <w:color w:val="000000"/>
                <w:sz w:val="21"/>
                <w:szCs w:val="28"/>
              </w:rPr>
            </w:pPr>
            <w:r>
              <w:rPr>
                <w:rFonts w:ascii="Times New Roman" w:hAnsi="Times New Roman" w:eastAsia="仿宋"/>
                <w:color w:val="000000"/>
                <w:sz w:val="21"/>
                <w:szCs w:val="28"/>
              </w:rPr>
              <w:t>伍卫</w:t>
            </w:r>
          </w:p>
        </w:tc>
        <w:tc>
          <w:tcPr>
            <w:tcW w:w="1276" w:type="dxa"/>
            <w:vAlign w:val="center"/>
          </w:tcPr>
          <w:p>
            <w:pPr>
              <w:pStyle w:val="5"/>
              <w:adjustRightInd w:val="0"/>
              <w:spacing w:line="200" w:lineRule="exact"/>
              <w:ind w:firstLine="0" w:firstLineChars="0"/>
              <w:jc w:val="center"/>
              <w:outlineLvl w:val="1"/>
              <w:rPr>
                <w:rFonts w:ascii="Times New Roman" w:hAnsi="Times New Roman" w:eastAsia="仿宋"/>
                <w:color w:val="000000"/>
                <w:sz w:val="21"/>
                <w:szCs w:val="28"/>
              </w:rPr>
            </w:pPr>
            <w:r>
              <w:rPr>
                <w:rFonts w:ascii="Times New Roman" w:hAnsi="Times New Roman" w:eastAsia="仿宋"/>
                <w:color w:val="000000"/>
                <w:sz w:val="21"/>
                <w:szCs w:val="28"/>
              </w:rPr>
              <w:t>刘茂</w:t>
            </w:r>
          </w:p>
        </w:tc>
        <w:tc>
          <w:tcPr>
            <w:tcW w:w="1134" w:type="dxa"/>
            <w:vAlign w:val="center"/>
          </w:tcPr>
          <w:p>
            <w:pPr>
              <w:pStyle w:val="5"/>
              <w:adjustRightInd w:val="0"/>
              <w:spacing w:line="200" w:lineRule="exact"/>
              <w:ind w:firstLine="0" w:firstLineChars="0"/>
              <w:jc w:val="center"/>
              <w:outlineLvl w:val="1"/>
              <w:rPr>
                <w:rFonts w:ascii="Times New Roman" w:hAnsi="Times New Roman" w:eastAsia="仿宋"/>
                <w:color w:val="000000"/>
                <w:sz w:val="21"/>
                <w:szCs w:val="28"/>
              </w:rPr>
            </w:pPr>
            <w:r>
              <w:rPr>
                <w:rFonts w:ascii="Times New Roman" w:hAnsi="Times New Roman" w:eastAsia="仿宋"/>
                <w:color w:val="000000"/>
                <w:sz w:val="21"/>
                <w:szCs w:val="28"/>
              </w:rPr>
              <w:t>刘茂, 陈剑, 姚婕榕, 谭广毅, 伍卫</w:t>
            </w:r>
          </w:p>
        </w:tc>
        <w:tc>
          <w:tcPr>
            <w:tcW w:w="709" w:type="dxa"/>
            <w:vAlign w:val="center"/>
          </w:tcPr>
          <w:p>
            <w:pPr>
              <w:pStyle w:val="5"/>
              <w:adjustRightInd w:val="0"/>
              <w:spacing w:line="200" w:lineRule="exact"/>
              <w:ind w:firstLine="0" w:firstLineChars="0"/>
              <w:jc w:val="center"/>
              <w:outlineLvl w:val="1"/>
              <w:rPr>
                <w:rFonts w:ascii="Times New Roman" w:hAnsi="Times New Roman" w:eastAsia="仿宋"/>
                <w:color w:val="FF0000"/>
                <w:sz w:val="21"/>
                <w:szCs w:val="28"/>
              </w:rPr>
            </w:pPr>
            <w:r>
              <w:rPr>
                <w:rFonts w:ascii="Times New Roman" w:hAnsi="Times New Roman" w:eastAsia="仿宋"/>
                <w:sz w:val="21"/>
                <w:szCs w:val="28"/>
              </w:rPr>
              <w:t>4</w:t>
            </w:r>
          </w:p>
        </w:tc>
        <w:tc>
          <w:tcPr>
            <w:tcW w:w="709" w:type="dxa"/>
            <w:vAlign w:val="center"/>
          </w:tcPr>
          <w:p>
            <w:pPr>
              <w:pStyle w:val="5"/>
              <w:adjustRightInd w:val="0"/>
              <w:spacing w:line="200" w:lineRule="exact"/>
              <w:ind w:firstLine="0" w:firstLineChars="0"/>
              <w:jc w:val="center"/>
              <w:outlineLvl w:val="1"/>
              <w:rPr>
                <w:rFonts w:ascii="Times New Roman" w:hAnsi="Times New Roman" w:eastAsia="仿宋"/>
                <w:color w:val="FF0000"/>
                <w:sz w:val="21"/>
                <w:szCs w:val="28"/>
              </w:rPr>
            </w:pPr>
            <w:r>
              <w:rPr>
                <w:rFonts w:hint="eastAsia" w:ascii="Times New Roman" w:hAnsi="Times New Roman" w:eastAsia="仿宋"/>
                <w:color w:val="000000"/>
                <w:sz w:val="21"/>
                <w:szCs w:val="28"/>
              </w:rPr>
              <w:t>中国引文数据库</w:t>
            </w:r>
          </w:p>
        </w:tc>
        <w:tc>
          <w:tcPr>
            <w:tcW w:w="644" w:type="dxa"/>
            <w:vAlign w:val="center"/>
          </w:tcPr>
          <w:p>
            <w:pPr>
              <w:pStyle w:val="5"/>
              <w:adjustRightInd w:val="0"/>
              <w:spacing w:line="200" w:lineRule="exact"/>
              <w:ind w:firstLine="0" w:firstLineChars="0"/>
              <w:jc w:val="center"/>
              <w:outlineLvl w:val="1"/>
              <w:rPr>
                <w:rFonts w:ascii="Times New Roman" w:hAnsi="Times New Roman" w:eastAsia="仿宋"/>
                <w:color w:val="000000"/>
                <w:sz w:val="21"/>
                <w:szCs w:val="28"/>
              </w:rPr>
            </w:pPr>
            <w:r>
              <w:rPr>
                <w:rFonts w:ascii="Times New Roman" w:hAnsi="Times New Roman" w:eastAsia="仿宋"/>
                <w:color w:val="000000"/>
                <w:sz w:val="21"/>
                <w:szCs w:val="2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9" w:hRule="exact"/>
          <w:jc w:val="center"/>
        </w:trPr>
        <w:tc>
          <w:tcPr>
            <w:tcW w:w="392" w:type="dxa"/>
            <w:vAlign w:val="center"/>
          </w:tcPr>
          <w:p>
            <w:pPr>
              <w:pStyle w:val="5"/>
              <w:adjustRightInd w:val="0"/>
              <w:spacing w:line="320" w:lineRule="exact"/>
              <w:ind w:firstLine="0" w:firstLineChars="0"/>
              <w:jc w:val="center"/>
              <w:outlineLvl w:val="1"/>
              <w:rPr>
                <w:rFonts w:ascii="Times New Roman" w:hAnsi="Times New Roman" w:eastAsia="仿宋"/>
                <w:color w:val="000000"/>
                <w:sz w:val="21"/>
                <w:szCs w:val="28"/>
              </w:rPr>
            </w:pPr>
            <w:r>
              <w:rPr>
                <w:rFonts w:ascii="Times New Roman" w:hAnsi="Times New Roman" w:eastAsia="仿宋"/>
                <w:color w:val="000000"/>
                <w:sz w:val="21"/>
                <w:szCs w:val="28"/>
              </w:rPr>
              <w:t>5</w:t>
            </w:r>
          </w:p>
        </w:tc>
        <w:tc>
          <w:tcPr>
            <w:tcW w:w="1701" w:type="dxa"/>
            <w:vAlign w:val="center"/>
          </w:tcPr>
          <w:p>
            <w:pPr>
              <w:pStyle w:val="5"/>
              <w:adjustRightInd w:val="0"/>
              <w:spacing w:line="200" w:lineRule="exact"/>
              <w:ind w:firstLine="0" w:firstLineChars="0"/>
              <w:jc w:val="center"/>
              <w:outlineLvl w:val="1"/>
              <w:rPr>
                <w:rFonts w:ascii="Times New Roman" w:hAnsi="Times New Roman" w:eastAsia="仿宋"/>
                <w:color w:val="000000"/>
                <w:sz w:val="21"/>
                <w:szCs w:val="28"/>
              </w:rPr>
            </w:pPr>
            <w:r>
              <w:rPr>
                <w:rFonts w:ascii="Times New Roman" w:hAnsi="Times New Roman" w:eastAsia="仿宋"/>
                <w:color w:val="000000"/>
                <w:sz w:val="21"/>
                <w:szCs w:val="28"/>
              </w:rPr>
              <w:t>Adropin Alleviates Myocardial Fibrosis in Diabetic Cardiomyopathy Rats: A Preliminary Study/Front Cardiovasc Med/Liu Mao, Ai Jiao, Shuai Zhuang, Tang Kai, Li Zongyu, Huang Yin</w:t>
            </w:r>
          </w:p>
        </w:tc>
        <w:tc>
          <w:tcPr>
            <w:tcW w:w="1134" w:type="dxa"/>
            <w:vAlign w:val="center"/>
          </w:tcPr>
          <w:p>
            <w:pPr>
              <w:pStyle w:val="5"/>
              <w:adjustRightInd w:val="0"/>
              <w:spacing w:line="200" w:lineRule="exact"/>
              <w:ind w:firstLine="0" w:firstLineChars="0"/>
              <w:jc w:val="center"/>
              <w:outlineLvl w:val="1"/>
              <w:rPr>
                <w:rFonts w:ascii="Times New Roman" w:hAnsi="Times New Roman" w:eastAsia="仿宋"/>
                <w:color w:val="000000"/>
                <w:sz w:val="21"/>
                <w:szCs w:val="28"/>
              </w:rPr>
            </w:pPr>
            <w:r>
              <w:rPr>
                <w:rFonts w:ascii="Times New Roman" w:hAnsi="Times New Roman" w:eastAsia="仿宋"/>
                <w:color w:val="000000"/>
                <w:sz w:val="21"/>
                <w:szCs w:val="28"/>
              </w:rPr>
              <w:t>2021, 8:688586.</w:t>
            </w:r>
          </w:p>
        </w:tc>
        <w:tc>
          <w:tcPr>
            <w:tcW w:w="1276" w:type="dxa"/>
            <w:vAlign w:val="center"/>
          </w:tcPr>
          <w:p>
            <w:pPr>
              <w:pStyle w:val="5"/>
              <w:adjustRightInd w:val="0"/>
              <w:spacing w:line="200" w:lineRule="exact"/>
              <w:ind w:firstLine="0" w:firstLineChars="0"/>
              <w:jc w:val="center"/>
              <w:outlineLvl w:val="1"/>
              <w:rPr>
                <w:rFonts w:ascii="Times New Roman" w:hAnsi="Times New Roman" w:eastAsia="仿宋"/>
                <w:color w:val="000000"/>
                <w:sz w:val="21"/>
                <w:szCs w:val="28"/>
              </w:rPr>
            </w:pPr>
            <w:r>
              <w:rPr>
                <w:rFonts w:ascii="Times New Roman" w:hAnsi="Times New Roman" w:eastAsia="仿宋"/>
                <w:color w:val="000000"/>
                <w:sz w:val="21"/>
                <w:szCs w:val="28"/>
              </w:rPr>
              <w:t>2021.7.12</w:t>
            </w:r>
          </w:p>
        </w:tc>
        <w:tc>
          <w:tcPr>
            <w:tcW w:w="1275" w:type="dxa"/>
            <w:vAlign w:val="center"/>
          </w:tcPr>
          <w:p>
            <w:pPr>
              <w:pStyle w:val="5"/>
              <w:adjustRightInd w:val="0"/>
              <w:spacing w:line="200" w:lineRule="exact"/>
              <w:ind w:firstLine="0" w:firstLineChars="0"/>
              <w:jc w:val="center"/>
              <w:outlineLvl w:val="1"/>
              <w:rPr>
                <w:rFonts w:ascii="Times New Roman" w:hAnsi="Times New Roman" w:eastAsia="仿宋"/>
                <w:color w:val="000000"/>
                <w:sz w:val="21"/>
                <w:szCs w:val="28"/>
              </w:rPr>
            </w:pPr>
            <w:r>
              <w:rPr>
                <w:rFonts w:ascii="Times New Roman" w:hAnsi="Times New Roman" w:eastAsia="仿宋"/>
                <w:color w:val="000000"/>
                <w:sz w:val="21"/>
                <w:szCs w:val="28"/>
              </w:rPr>
              <w:t>Huang Yin</w:t>
            </w:r>
          </w:p>
        </w:tc>
        <w:tc>
          <w:tcPr>
            <w:tcW w:w="1276" w:type="dxa"/>
            <w:vAlign w:val="center"/>
          </w:tcPr>
          <w:p>
            <w:pPr>
              <w:pStyle w:val="5"/>
              <w:adjustRightInd w:val="0"/>
              <w:spacing w:line="200" w:lineRule="exact"/>
              <w:ind w:firstLine="0" w:firstLineChars="0"/>
              <w:jc w:val="center"/>
              <w:outlineLvl w:val="1"/>
              <w:rPr>
                <w:rFonts w:ascii="Times New Roman" w:hAnsi="Times New Roman" w:eastAsia="仿宋"/>
                <w:color w:val="000000"/>
                <w:sz w:val="21"/>
                <w:szCs w:val="28"/>
              </w:rPr>
            </w:pPr>
            <w:r>
              <w:rPr>
                <w:rFonts w:ascii="Times New Roman" w:hAnsi="Times New Roman" w:eastAsia="仿宋"/>
                <w:color w:val="000000"/>
                <w:sz w:val="21"/>
                <w:szCs w:val="28"/>
              </w:rPr>
              <w:t>Liu Mao, Ai Jiao</w:t>
            </w:r>
          </w:p>
        </w:tc>
        <w:tc>
          <w:tcPr>
            <w:tcW w:w="1134" w:type="dxa"/>
            <w:vAlign w:val="center"/>
          </w:tcPr>
          <w:p>
            <w:pPr>
              <w:pStyle w:val="5"/>
              <w:adjustRightInd w:val="0"/>
              <w:spacing w:line="200" w:lineRule="exact"/>
              <w:ind w:firstLine="0" w:firstLineChars="0"/>
              <w:jc w:val="center"/>
              <w:outlineLvl w:val="1"/>
              <w:rPr>
                <w:rFonts w:ascii="Times New Roman" w:hAnsi="Times New Roman" w:eastAsia="仿宋"/>
                <w:color w:val="000000"/>
                <w:sz w:val="21"/>
                <w:szCs w:val="28"/>
              </w:rPr>
            </w:pPr>
            <w:r>
              <w:rPr>
                <w:rFonts w:ascii="Times New Roman" w:hAnsi="Times New Roman" w:eastAsia="仿宋"/>
                <w:color w:val="000000"/>
                <w:sz w:val="21"/>
                <w:szCs w:val="28"/>
              </w:rPr>
              <w:t>Liu Mao, Ai Jiao, Shuai Zhuang, Tang Kai, Li Zongyu, Huang Yin</w:t>
            </w:r>
          </w:p>
        </w:tc>
        <w:tc>
          <w:tcPr>
            <w:tcW w:w="709" w:type="dxa"/>
            <w:vAlign w:val="center"/>
          </w:tcPr>
          <w:p>
            <w:pPr>
              <w:pStyle w:val="5"/>
              <w:adjustRightInd w:val="0"/>
              <w:spacing w:line="200" w:lineRule="exact"/>
              <w:ind w:firstLine="0" w:firstLineChars="0"/>
              <w:jc w:val="center"/>
              <w:outlineLvl w:val="1"/>
              <w:rPr>
                <w:rFonts w:ascii="Times New Roman" w:hAnsi="Times New Roman" w:eastAsia="仿宋"/>
                <w:color w:val="FF0000"/>
                <w:sz w:val="21"/>
                <w:szCs w:val="28"/>
              </w:rPr>
            </w:pPr>
            <w:r>
              <w:rPr>
                <w:rFonts w:ascii="Times New Roman" w:hAnsi="Times New Roman" w:eastAsia="仿宋"/>
                <w:sz w:val="21"/>
                <w:szCs w:val="28"/>
              </w:rPr>
              <w:t>0</w:t>
            </w:r>
          </w:p>
        </w:tc>
        <w:tc>
          <w:tcPr>
            <w:tcW w:w="709" w:type="dxa"/>
            <w:vAlign w:val="center"/>
          </w:tcPr>
          <w:p>
            <w:pPr>
              <w:pStyle w:val="5"/>
              <w:adjustRightInd w:val="0"/>
              <w:spacing w:line="200" w:lineRule="exact"/>
              <w:ind w:firstLine="0" w:firstLineChars="0"/>
              <w:jc w:val="center"/>
              <w:outlineLvl w:val="1"/>
              <w:rPr>
                <w:rFonts w:ascii="Times New Roman" w:hAnsi="Times New Roman" w:eastAsia="仿宋"/>
                <w:color w:val="FF0000"/>
                <w:sz w:val="21"/>
                <w:szCs w:val="28"/>
              </w:rPr>
            </w:pPr>
            <w:r>
              <w:rPr>
                <w:rFonts w:hint="eastAsia" w:ascii="Times New Roman" w:hAnsi="Times New Roman" w:eastAsia="仿宋"/>
                <w:color w:val="000000"/>
                <w:sz w:val="21"/>
                <w:szCs w:val="28"/>
              </w:rPr>
              <w:t>美国《科学引文索引（扩展库）》</w:t>
            </w:r>
          </w:p>
        </w:tc>
        <w:tc>
          <w:tcPr>
            <w:tcW w:w="644" w:type="dxa"/>
            <w:vAlign w:val="center"/>
          </w:tcPr>
          <w:p>
            <w:pPr>
              <w:pStyle w:val="5"/>
              <w:adjustRightInd w:val="0"/>
              <w:spacing w:line="200" w:lineRule="exact"/>
              <w:ind w:firstLine="0" w:firstLineChars="0"/>
              <w:jc w:val="center"/>
              <w:outlineLvl w:val="1"/>
              <w:rPr>
                <w:rFonts w:ascii="Times New Roman" w:hAnsi="Times New Roman" w:eastAsia="仿宋"/>
                <w:color w:val="000000"/>
                <w:sz w:val="21"/>
                <w:szCs w:val="28"/>
              </w:rPr>
            </w:pPr>
            <w:r>
              <w:rPr>
                <w:rFonts w:ascii="Times New Roman" w:hAnsi="Times New Roman" w:eastAsia="仿宋"/>
                <w:color w:val="000000"/>
                <w:sz w:val="21"/>
                <w:szCs w:val="2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8188" w:type="dxa"/>
            <w:gridSpan w:val="7"/>
            <w:vAlign w:val="center"/>
          </w:tcPr>
          <w:p>
            <w:pPr>
              <w:pStyle w:val="5"/>
              <w:adjustRightInd w:val="0"/>
              <w:spacing w:line="320" w:lineRule="exact"/>
              <w:ind w:firstLine="0" w:firstLineChars="0"/>
              <w:jc w:val="center"/>
              <w:outlineLvl w:val="1"/>
              <w:rPr>
                <w:rFonts w:ascii="Times New Roman" w:hAnsi="Times New Roman" w:eastAsia="仿宋"/>
                <w:color w:val="000000"/>
                <w:sz w:val="21"/>
                <w:szCs w:val="28"/>
              </w:rPr>
            </w:pPr>
            <w:r>
              <w:rPr>
                <w:rFonts w:ascii="Times New Roman" w:hAnsi="Times New Roman" w:eastAsia="仿宋"/>
                <w:color w:val="000000"/>
                <w:sz w:val="21"/>
                <w:szCs w:val="28"/>
              </w:rPr>
              <w:t>合  计</w:t>
            </w:r>
          </w:p>
        </w:tc>
        <w:tc>
          <w:tcPr>
            <w:tcW w:w="709" w:type="dxa"/>
            <w:vAlign w:val="center"/>
          </w:tcPr>
          <w:p>
            <w:pPr>
              <w:pStyle w:val="5"/>
              <w:adjustRightInd w:val="0"/>
              <w:spacing w:line="320" w:lineRule="exact"/>
              <w:ind w:firstLine="0" w:firstLineChars="0"/>
              <w:jc w:val="center"/>
              <w:outlineLvl w:val="1"/>
              <w:rPr>
                <w:rFonts w:ascii="Times New Roman" w:hAnsi="Times New Roman" w:eastAsia="仿宋"/>
                <w:color w:val="000000"/>
                <w:sz w:val="21"/>
                <w:szCs w:val="28"/>
              </w:rPr>
            </w:pPr>
            <w:r>
              <w:rPr>
                <w:rFonts w:hint="eastAsia" w:ascii="Times New Roman" w:hAnsi="Times New Roman" w:eastAsia="仿宋"/>
                <w:color w:val="000000"/>
                <w:sz w:val="21"/>
                <w:szCs w:val="28"/>
              </w:rPr>
              <w:t>5</w:t>
            </w:r>
            <w:r>
              <w:rPr>
                <w:rFonts w:ascii="Times New Roman" w:hAnsi="Times New Roman" w:eastAsia="仿宋"/>
                <w:color w:val="000000"/>
                <w:sz w:val="21"/>
                <w:szCs w:val="28"/>
              </w:rPr>
              <w:t>3</w:t>
            </w:r>
          </w:p>
        </w:tc>
        <w:tc>
          <w:tcPr>
            <w:tcW w:w="709" w:type="dxa"/>
            <w:vAlign w:val="center"/>
          </w:tcPr>
          <w:p>
            <w:pPr>
              <w:pStyle w:val="5"/>
              <w:adjustRightInd w:val="0"/>
              <w:spacing w:line="320" w:lineRule="exact"/>
              <w:ind w:firstLine="0" w:firstLineChars="0"/>
              <w:jc w:val="center"/>
              <w:outlineLvl w:val="1"/>
              <w:rPr>
                <w:rFonts w:ascii="Times New Roman" w:hAnsi="Times New Roman" w:eastAsia="仿宋"/>
                <w:color w:val="000000"/>
                <w:sz w:val="21"/>
                <w:szCs w:val="28"/>
              </w:rPr>
            </w:pPr>
          </w:p>
        </w:tc>
        <w:tc>
          <w:tcPr>
            <w:tcW w:w="644" w:type="dxa"/>
            <w:vAlign w:val="center"/>
          </w:tcPr>
          <w:p>
            <w:pPr>
              <w:pStyle w:val="5"/>
              <w:adjustRightInd w:val="0"/>
              <w:spacing w:line="320" w:lineRule="exact"/>
              <w:ind w:firstLine="0" w:firstLineChars="0"/>
              <w:jc w:val="center"/>
              <w:outlineLvl w:val="1"/>
              <w:rPr>
                <w:rFonts w:ascii="Times New Roman" w:hAnsi="Times New Roman" w:eastAsia="仿宋"/>
                <w:color w:val="000000"/>
                <w:sz w:val="21"/>
                <w:szCs w:val="28"/>
              </w:rPr>
            </w:pPr>
          </w:p>
        </w:tc>
      </w:tr>
    </w:tbl>
    <w:p>
      <w:r>
        <w:rPr>
          <w:rFonts w:hint="eastAsia" w:ascii="宋体"/>
          <w:b/>
          <w:bCs/>
          <w:color w:val="000000"/>
          <w:szCs w:val="24"/>
        </w:rPr>
        <w:t>注：论文、专著可以不提供，若提供则需满足发表在国内期刊的论文或国内出版的专著不少于1篇/部</w:t>
      </w:r>
    </w:p>
    <w:sectPr>
      <w:foot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3209268"/>
      <w:docPartList>
        <w:docPartGallery w:val="Quick Parts"/>
      </w:docPartList>
    </w:sdtPr>
    <w:sdtContent>
      <w:p>
        <w:pPr>
          <w:pStyle w:val="6"/>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w:t>
        </w:r>
        <w:r>
          <w:rPr>
            <w:rFonts w:ascii="Times New Roman" w:hAnsi="Times New Roman" w:cs="Times New Roman"/>
            <w:sz w:val="21"/>
            <w:szCs w:val="21"/>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3YmI4Y2IzNTc1ZGRiNzY3NTlmMjZlZmYyMzNkMDIifQ=="/>
  </w:docVars>
  <w:rsids>
    <w:rsidRoot w:val="005945E0"/>
    <w:rsid w:val="00002C04"/>
    <w:rsid w:val="00003CA7"/>
    <w:rsid w:val="00007879"/>
    <w:rsid w:val="00042948"/>
    <w:rsid w:val="000E2B1D"/>
    <w:rsid w:val="00121E94"/>
    <w:rsid w:val="001A6215"/>
    <w:rsid w:val="001C0A9F"/>
    <w:rsid w:val="001F50A0"/>
    <w:rsid w:val="00207E8A"/>
    <w:rsid w:val="00215ADA"/>
    <w:rsid w:val="00254A34"/>
    <w:rsid w:val="002A25EE"/>
    <w:rsid w:val="002B6A71"/>
    <w:rsid w:val="002D553D"/>
    <w:rsid w:val="002D5A8C"/>
    <w:rsid w:val="002E1D6B"/>
    <w:rsid w:val="003202CD"/>
    <w:rsid w:val="003D4BBA"/>
    <w:rsid w:val="0040795A"/>
    <w:rsid w:val="00412FF8"/>
    <w:rsid w:val="0042385A"/>
    <w:rsid w:val="0046183C"/>
    <w:rsid w:val="004A1BDD"/>
    <w:rsid w:val="004A63E4"/>
    <w:rsid w:val="004B06DE"/>
    <w:rsid w:val="004C5BE1"/>
    <w:rsid w:val="005156E4"/>
    <w:rsid w:val="00583BA2"/>
    <w:rsid w:val="005945E0"/>
    <w:rsid w:val="005A05CE"/>
    <w:rsid w:val="005C55C7"/>
    <w:rsid w:val="006334A3"/>
    <w:rsid w:val="0065085F"/>
    <w:rsid w:val="006B51D6"/>
    <w:rsid w:val="006F4957"/>
    <w:rsid w:val="00753BF3"/>
    <w:rsid w:val="00794466"/>
    <w:rsid w:val="007F28CF"/>
    <w:rsid w:val="00811007"/>
    <w:rsid w:val="00817AE8"/>
    <w:rsid w:val="00842F77"/>
    <w:rsid w:val="00863CD2"/>
    <w:rsid w:val="008D3007"/>
    <w:rsid w:val="008F308B"/>
    <w:rsid w:val="00944B4B"/>
    <w:rsid w:val="00954D2A"/>
    <w:rsid w:val="009653D4"/>
    <w:rsid w:val="00972114"/>
    <w:rsid w:val="00A42F1E"/>
    <w:rsid w:val="00A82C03"/>
    <w:rsid w:val="00B311FF"/>
    <w:rsid w:val="00B43595"/>
    <w:rsid w:val="00B509FF"/>
    <w:rsid w:val="00B75E08"/>
    <w:rsid w:val="00B92414"/>
    <w:rsid w:val="00BD77A1"/>
    <w:rsid w:val="00BE1E5C"/>
    <w:rsid w:val="00BE63A8"/>
    <w:rsid w:val="00D96D16"/>
    <w:rsid w:val="00DA2865"/>
    <w:rsid w:val="00DD46F2"/>
    <w:rsid w:val="00E42A01"/>
    <w:rsid w:val="00E5285A"/>
    <w:rsid w:val="00EB3797"/>
    <w:rsid w:val="00ED16B8"/>
    <w:rsid w:val="00ED19CB"/>
    <w:rsid w:val="00ED3D9A"/>
    <w:rsid w:val="00EF012D"/>
    <w:rsid w:val="00FB4876"/>
    <w:rsid w:val="00FC52EC"/>
    <w:rsid w:val="271417E2"/>
    <w:rsid w:val="303D63A8"/>
    <w:rsid w:val="4B6760EF"/>
    <w:rsid w:val="7D7FC30A"/>
    <w:rsid w:val="B5DB6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Plain Text"/>
    <w:basedOn w:val="1"/>
    <w:qFormat/>
    <w:uiPriority w:val="0"/>
    <w:pPr>
      <w:spacing w:line="360" w:lineRule="auto"/>
      <w:ind w:firstLine="200" w:firstLineChars="200"/>
    </w:pPr>
    <w:rPr>
      <w:rFonts w:ascii="仿宋_GB2312" w:hAnsi="仿宋_GB2312" w:cs="Times New Roman"/>
      <w:sz w:val="24"/>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_Style 8"/>
    <w:next w:val="1"/>
    <w:qFormat/>
    <w:uiPriority w:val="0"/>
    <w:pPr>
      <w:widowControl w:val="0"/>
      <w:spacing w:line="360" w:lineRule="auto"/>
      <w:ind w:firstLine="200" w:firstLineChars="200"/>
      <w:jc w:val="both"/>
    </w:pPr>
    <w:rPr>
      <w:rFonts w:ascii="仿宋_GB2312" w:hAnsi="仿宋_GB2312" w:eastAsia="宋体" w:cs="Times New Roman"/>
      <w:kern w:val="2"/>
      <w:sz w:val="24"/>
      <w:lang w:val="en-US" w:eastAsia="zh-CN" w:bidi="ar-SA"/>
    </w:rPr>
  </w:style>
  <w:style w:type="character" w:customStyle="1" w:styleId="11">
    <w:name w:val="reftitle1"/>
    <w:qFormat/>
    <w:uiPriority w:val="99"/>
    <w:rPr>
      <w:b/>
      <w:bCs/>
      <w:color w:val="auto"/>
      <w:sz w:val="13"/>
      <w:szCs w:val="1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WRGHO.COM</Company>
  <Pages>7</Pages>
  <Words>2781</Words>
  <Characters>4069</Characters>
  <Lines>33</Lines>
  <Paragraphs>9</Paragraphs>
  <TotalTime>39</TotalTime>
  <ScaleCrop>false</ScaleCrop>
  <LinksUpToDate>false</LinksUpToDate>
  <CharactersWithSpaces>4457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2020-06-03T11:10:00Z</dcterms:created>
  <dc:creator>WRGHO</dc:creator>
  <cp:lastModifiedBy>香槟</cp:lastModifiedBy>
  <dcterms:modified xsi:type="dcterms:W3CDTF">2023-06-07T02:51:30Z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974AE7FCA44C4E1CBD5BE34FF026582B_13</vt:lpwstr>
  </property>
</Properties>
</file>