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2289E">
      <w:pPr>
        <w:rPr>
          <w:rFonts w:hint="eastAsia" w:ascii="仿宋" w:hAnsi="仿宋" w:eastAsia="仿宋" w:cs="仿宋_GB2312"/>
          <w:szCs w:val="32"/>
        </w:rPr>
      </w:pPr>
      <w:r>
        <w:rPr>
          <w:rFonts w:hint="eastAsia" w:ascii="仿宋" w:hAnsi="仿宋" w:eastAsia="仿宋" w:cs="仿宋_GB2312"/>
          <w:szCs w:val="32"/>
        </w:rPr>
        <w:t>一、推荐四川省医学（青年）科技奖候选项目：</w:t>
      </w:r>
    </w:p>
    <w:p w14:paraId="72BCE679">
      <w:pPr>
        <w:ind w:firstLine="640" w:firstLineChars="200"/>
        <w:rPr>
          <w:rFonts w:hint="eastAsia" w:ascii="仿宋" w:hAnsi="仿宋" w:eastAsia="仿宋" w:cs="仿宋_GB2312"/>
          <w:szCs w:val="32"/>
          <w:lang w:eastAsia="zh-CN"/>
        </w:rPr>
      </w:pPr>
      <w:r>
        <w:rPr>
          <w:rFonts w:hint="eastAsia" w:ascii="仿宋" w:hAnsi="仿宋" w:eastAsia="仿宋" w:cs="仿宋_GB2312"/>
          <w:szCs w:val="32"/>
        </w:rPr>
        <w:t>1.推荐奖种</w:t>
      </w:r>
      <w:r>
        <w:rPr>
          <w:rFonts w:hint="eastAsia" w:ascii="仿宋" w:hAnsi="仿宋" w:eastAsia="仿宋" w:cs="仿宋_GB2312"/>
          <w:szCs w:val="32"/>
          <w:lang w:eastAsia="zh-CN"/>
        </w:rPr>
        <w:t>：四川省医学青年科技奖</w:t>
      </w:r>
    </w:p>
    <w:p w14:paraId="53E2AF2F">
      <w:pPr>
        <w:ind w:firstLine="640" w:firstLineChars="200"/>
        <w:rPr>
          <w:rFonts w:hint="eastAsia" w:ascii="仿宋" w:hAnsi="仿宋" w:eastAsia="仿宋" w:cs="仿宋_GB2312"/>
          <w:szCs w:val="32"/>
          <w:lang w:eastAsia="zh-CN"/>
        </w:rPr>
      </w:pPr>
      <w:r>
        <w:rPr>
          <w:rFonts w:hint="eastAsia" w:ascii="仿宋" w:hAnsi="仿宋" w:eastAsia="仿宋" w:cs="仿宋_GB2312"/>
          <w:szCs w:val="32"/>
        </w:rPr>
        <w:t>2.项目名称</w:t>
      </w:r>
      <w:r>
        <w:rPr>
          <w:rFonts w:hint="eastAsia" w:ascii="仿宋" w:hAnsi="仿宋" w:eastAsia="仿宋" w:cs="仿宋_GB2312"/>
          <w:szCs w:val="32"/>
          <w:lang w:eastAsia="zh-CN"/>
        </w:rPr>
        <w:t>：精准与舒适麻醉对患者术后并发症及快速康复的影响及机制研究</w:t>
      </w:r>
    </w:p>
    <w:p w14:paraId="7F12826E">
      <w:pPr>
        <w:ind w:firstLine="640" w:firstLineChars="200"/>
        <w:rPr>
          <w:rFonts w:hint="eastAsia" w:ascii="仿宋" w:hAnsi="仿宋" w:eastAsia="仿宋" w:cs="仿宋_GB2312"/>
          <w:szCs w:val="32"/>
          <w:lang w:eastAsia="zh-CN"/>
        </w:rPr>
      </w:pPr>
      <w:r>
        <w:rPr>
          <w:rFonts w:hint="eastAsia" w:ascii="仿宋" w:hAnsi="仿宋" w:eastAsia="仿宋" w:cs="仿宋_GB2312"/>
          <w:szCs w:val="32"/>
        </w:rPr>
        <w:t>3.推荐单位</w:t>
      </w:r>
      <w:r>
        <w:rPr>
          <w:rFonts w:hint="eastAsia" w:ascii="仿宋" w:hAnsi="仿宋" w:eastAsia="仿宋" w:cs="仿宋_GB2312"/>
          <w:szCs w:val="32"/>
          <w:lang w:eastAsia="zh-CN"/>
        </w:rPr>
        <w:t>：川北医学院附属医院</w:t>
      </w:r>
    </w:p>
    <w:p w14:paraId="30E8813B">
      <w:pPr>
        <w:ind w:firstLine="640" w:firstLineChars="200"/>
        <w:rPr>
          <w:rFonts w:hint="eastAsia" w:ascii="仿宋" w:hAnsi="仿宋" w:eastAsia="仿宋" w:cs="仿宋_GB2312"/>
          <w:szCs w:val="32"/>
          <w:lang w:eastAsia="zh-CN"/>
        </w:rPr>
      </w:pPr>
      <w:r>
        <w:rPr>
          <w:rFonts w:hint="eastAsia" w:ascii="仿宋" w:hAnsi="仿宋" w:eastAsia="仿宋" w:cs="仿宋_GB2312"/>
          <w:szCs w:val="32"/>
        </w:rPr>
        <w:t>4.推荐意见</w:t>
      </w:r>
      <w:r>
        <w:rPr>
          <w:rFonts w:hint="eastAsia" w:ascii="仿宋" w:hAnsi="仿宋" w:eastAsia="仿宋" w:cs="仿宋_GB2312"/>
          <w:szCs w:val="32"/>
          <w:lang w:eastAsia="zh-CN"/>
        </w:rPr>
        <w:t>：</w:t>
      </w:r>
    </w:p>
    <w:p w14:paraId="18E119A9">
      <w:pPr>
        <w:ind w:firstLine="560" w:firstLineChars="200"/>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加速康复外科通过一系列措施，如术前缩短禁食禁饮时间、优化麻醉方法、减少术中出血和创伤、术后早期进食和活动等，显著缩短了患者的住院时间，减少了并发症的发生。近年来，随着精准与舒适麻醉的发展，如超声引导的神经阻滞、床旁超声监测等精准麻醉技术逐渐应用，提高了麻醉的</w:t>
      </w:r>
    </w:p>
    <w:p w14:paraId="4FAB119A">
      <w:pPr>
        <w:rPr>
          <w:rFonts w:hint="eastAsia" w:ascii="仿宋" w:hAnsi="仿宋" w:eastAsia="仿宋" w:cs="仿宋_GB2312"/>
          <w:sz w:val="28"/>
          <w:szCs w:val="28"/>
          <w:lang w:eastAsia="zh-CN"/>
        </w:rPr>
      </w:pPr>
      <w:r>
        <w:rPr>
          <w:rFonts w:hint="eastAsia" w:ascii="仿宋" w:hAnsi="仿宋" w:eastAsia="仿宋" w:cs="仿宋_GB2312"/>
          <w:sz w:val="28"/>
          <w:szCs w:val="28"/>
          <w:lang w:eastAsia="zh-CN"/>
        </w:rPr>
        <w:t>准确性和安全性。术前缩短禁食禁饮时间，增加患者围术期的舒适性，减轻了术后胰岛素抵抗和相关并发症。项目探索了超声引导的神经阻滞新技术及阻滞应用效果、肺部超声、胃部超声等超声可视化技术；探讨了术前口服碳水化合物与术后恢复质量；深入研究了精准与舒适麻醉相关药物并发症的分子机制。项目团队以加速康复为主线，展开一系列研究，发表了 SCI论文 23 篇，中文及科技核心期刊论文 5 篇，并将这些技术应用临床和教学，获得校级教学成果奖 3 项。这些研究为手术应激反应的控制、术后多模式镇痛、术后并发症的预防、术后器官功能恢复等 ERAS 核心内容提供了新的思路和理论依据，并为新药研发提供参考，具有重要的经济价值和社会意义。我单位认真审核项目填报各项内容，确保材料真实有效，项目人所在单位均公示无异议，推荐其申报 2024 年度四川省医学（青年）科技奖。</w:t>
      </w:r>
    </w:p>
    <w:p w14:paraId="342C9667">
      <w:pPr>
        <w:ind w:firstLine="640" w:firstLineChars="200"/>
        <w:rPr>
          <w:rFonts w:hint="eastAsia" w:ascii="仿宋" w:hAnsi="仿宋" w:eastAsia="仿宋" w:cs="仿宋_GB2312"/>
          <w:szCs w:val="32"/>
          <w:lang w:eastAsia="zh-CN"/>
        </w:rPr>
      </w:pPr>
      <w:r>
        <w:rPr>
          <w:rFonts w:hint="eastAsia" w:ascii="仿宋" w:hAnsi="仿宋" w:eastAsia="仿宋" w:cs="仿宋_GB2312"/>
          <w:szCs w:val="32"/>
          <w:lang w:val="en-US" w:eastAsia="zh-CN"/>
        </w:rPr>
        <w:t>5.</w:t>
      </w:r>
      <w:r>
        <w:rPr>
          <w:rFonts w:hint="eastAsia" w:ascii="仿宋" w:hAnsi="仿宋" w:eastAsia="仿宋" w:cs="仿宋_GB2312"/>
          <w:szCs w:val="32"/>
        </w:rPr>
        <w:t>项目简介</w:t>
      </w:r>
      <w:r>
        <w:rPr>
          <w:rFonts w:hint="eastAsia" w:ascii="仿宋" w:hAnsi="仿宋" w:eastAsia="仿宋" w:cs="仿宋_GB2312"/>
          <w:szCs w:val="32"/>
          <w:lang w:eastAsia="zh-CN"/>
        </w:rPr>
        <w:t>：</w:t>
      </w:r>
    </w:p>
    <w:p w14:paraId="6A1E980B">
      <w:pPr>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加速康复外科（ERAS）在全球得到了广泛关注和推广，其核心是减少手术和麻醉对患者生理和心理的创伤应激，减少并发症，达到术后快速康复。加速康复具体措施多样，如缩短术前禁食禁饮时间、减轻术中应激反应、术中精准监测、术后并发症预防及多模式镇痛等，但很多方法应用效果和机制尚未完全明晰，临床应用未得到完全推广。研究团队历经八年不懈努力，在多项国家级和省部级项目的鼎力支持下，深入探索了精准与舒适麻醉的临床应用效果，并探寻了相关药物并发症的分子机制，取得了一系列突破性创新成果。</w:t>
      </w:r>
    </w:p>
    <w:p w14:paraId="2C4BBBE8">
      <w:pPr>
        <w:ind w:firstLine="562" w:firstLineChars="200"/>
        <w:rPr>
          <w:rFonts w:hint="eastAsia" w:ascii="仿宋" w:hAnsi="仿宋" w:eastAsia="仿宋" w:cs="仿宋_GB2312"/>
          <w:b/>
          <w:bCs/>
          <w:sz w:val="28"/>
          <w:szCs w:val="28"/>
        </w:rPr>
      </w:pPr>
      <w:r>
        <w:rPr>
          <w:rFonts w:hint="eastAsia" w:ascii="仿宋" w:hAnsi="仿宋" w:eastAsia="仿宋" w:cs="仿宋_GB2312"/>
          <w:b/>
          <w:bCs/>
          <w:sz w:val="28"/>
          <w:szCs w:val="28"/>
        </w:rPr>
        <w:t>1.以超声可视化技术为核心进行系统研究，提出了神经阻滞新方法，阐明了超声可视化技术是加速康复的重要措施，是精准与舒适麻醉的典型代表。</w:t>
      </w:r>
    </w:p>
    <w:p w14:paraId="156F3C26">
      <w:pPr>
        <w:ind w:firstLine="560" w:firstLineChars="200"/>
        <w:rPr>
          <w:rFonts w:hint="eastAsia" w:ascii="仿宋" w:hAnsi="仿宋" w:eastAsia="仿宋" w:cs="仿宋_GB2312"/>
          <w:sz w:val="28"/>
          <w:szCs w:val="28"/>
        </w:rPr>
      </w:pPr>
      <w:r>
        <w:rPr>
          <w:rFonts w:hint="eastAsia" w:ascii="仿宋" w:hAnsi="仿宋" w:eastAsia="仿宋" w:cs="仿宋_GB2312"/>
          <w:sz w:val="28"/>
          <w:szCs w:val="28"/>
        </w:rPr>
        <w:t>探索了“一针法腹直肌鞘联合腹横肌平面阻滞”的操作方法和临床应用，提出了“一膜双囊”是其阻滞成功的超声影像特征。阐明了超声引导下神经阻滞技术是减轻术中应激反应、减轻术后疼痛、减少术后并发症、促进术后早期恢复等 ERAS 核心内容的重要方法。同时展示了超声下不同神经阻滞方式、喉上神经阻滞、星状神经阻滞、肺部超声、胃部超声的临床应用效果，首次验证肺超声在指导术后肺复张的作用和优势，进一步构建了围术期肺保护通气和术后肺部并发症预防策略。</w:t>
      </w:r>
    </w:p>
    <w:p w14:paraId="4E83E1B1">
      <w:pPr>
        <w:ind w:firstLine="562" w:firstLineChars="200"/>
        <w:rPr>
          <w:rFonts w:hint="eastAsia" w:ascii="仿宋" w:hAnsi="仿宋" w:eastAsia="仿宋" w:cs="仿宋_GB2312"/>
          <w:sz w:val="28"/>
          <w:szCs w:val="28"/>
        </w:rPr>
      </w:pPr>
      <w:r>
        <w:rPr>
          <w:rFonts w:hint="eastAsia" w:ascii="仿宋" w:hAnsi="仿宋" w:eastAsia="仿宋" w:cs="仿宋_GB2312"/>
          <w:b/>
          <w:bCs/>
          <w:sz w:val="28"/>
          <w:szCs w:val="28"/>
        </w:rPr>
        <w:t>2.围绕术前禁食禁饮和术后恢复质量进行系统研究，为提高患者舒适性、减少术后并发症、提高患者恢复质量和促进术前口服碳水化化合物的临床应用提供新的依据和理论支撑。</w:t>
      </w:r>
    </w:p>
    <w:p w14:paraId="1EED56AD">
      <w:pPr>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在动物实验中，阐明了术前 2 h 碳水化合物负荷可以减轻老年大鼠脾切除术后认知功能障碍，并与术中炎症反应、内质网应激反应的降低有关。通过临床试验，使用 15 项恢</w:t>
      </w:r>
    </w:p>
    <w:p w14:paraId="0307DD89">
      <w:pPr>
        <w:rPr>
          <w:rFonts w:hint="eastAsia" w:ascii="仿宋" w:hAnsi="仿宋" w:eastAsia="仿宋" w:cs="仿宋_GB2312"/>
          <w:sz w:val="28"/>
          <w:szCs w:val="28"/>
        </w:rPr>
      </w:pPr>
      <w:r>
        <w:rPr>
          <w:rFonts w:hint="eastAsia" w:ascii="仿宋" w:hAnsi="仿宋" w:eastAsia="仿宋" w:cs="仿宋_GB2312"/>
          <w:sz w:val="28"/>
          <w:szCs w:val="28"/>
        </w:rPr>
        <w:t>复质量量表（QoR-15），从生理舒适度、生理独立性、心理支持、情感及疼痛 5 个方面评估术前口服碳水化合物和复合麻醉对患者快速康复的影响。相关成果发表在 Behav Brain Res，BMC Anesthesiol，J Clin Anesth 等国际期刊，为相关技术推广贡献了力量。</w:t>
      </w:r>
    </w:p>
    <w:p w14:paraId="61A9BF35">
      <w:pPr>
        <w:ind w:firstLine="562" w:firstLineChars="200"/>
        <w:rPr>
          <w:rFonts w:hint="eastAsia" w:ascii="仿宋" w:hAnsi="仿宋" w:eastAsia="仿宋" w:cs="仿宋_GB2312"/>
          <w:b/>
          <w:bCs/>
          <w:sz w:val="28"/>
          <w:szCs w:val="28"/>
        </w:rPr>
      </w:pPr>
      <w:r>
        <w:rPr>
          <w:rFonts w:hint="eastAsia" w:ascii="仿宋" w:hAnsi="仿宋" w:eastAsia="仿宋" w:cs="仿宋_GB2312"/>
          <w:b/>
          <w:bCs/>
          <w:sz w:val="28"/>
          <w:szCs w:val="28"/>
        </w:rPr>
        <w:t xml:space="preserve"> 3.进行药物并发症分子机制研究，为提升麻醉安全和舒适以及新药研发打下良好基础。</w:t>
      </w:r>
    </w:p>
    <w:p w14:paraId="4C9E2894">
      <w:pPr>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将精准和舒适麻醉中常用的布比卡因和依托咪酯可能产生的神经毒性和肌颤搐进行机制研究。利用基因干扰技术敲除硫氧还蛋白相互作用蛋白（TXNIP）的表达，通过抑制</w:t>
      </w:r>
    </w:p>
    <w:p w14:paraId="594DD2F0">
      <w:pPr>
        <w:rPr>
          <w:rFonts w:hint="eastAsia" w:ascii="仿宋" w:hAnsi="仿宋" w:eastAsia="仿宋" w:cs="仿宋_GB2312"/>
          <w:sz w:val="28"/>
          <w:szCs w:val="28"/>
        </w:rPr>
      </w:pPr>
      <w:r>
        <w:rPr>
          <w:rFonts w:hint="eastAsia" w:ascii="仿宋" w:hAnsi="仿宋" w:eastAsia="仿宋" w:cs="仿宋_GB2312"/>
          <w:sz w:val="28"/>
          <w:szCs w:val="28"/>
        </w:rPr>
        <w:t>氧化应激和凋亡对布比卡因引起的神经毒性发挥保护作用。探索了依托咪酯诱发肌颤在脑内的发生部位及 NMDAR 的调节机制，发现依托咪酯激活 NMDAR 进而促进 KCC2 氯离子通道蛋白的裂解，调节 GABAA 受体功能，证实 KCC2 为依托咪酯诱发肌颤的治疗靶点。</w:t>
      </w:r>
    </w:p>
    <w:p w14:paraId="0CDF9F88">
      <w:pPr>
        <w:ind w:firstLine="560" w:firstLineChars="200"/>
        <w:rPr>
          <w:rFonts w:hint="eastAsia" w:ascii="仿宋" w:hAnsi="仿宋" w:eastAsia="仿宋" w:cs="仿宋_GB2312"/>
          <w:sz w:val="28"/>
          <w:szCs w:val="28"/>
        </w:rPr>
      </w:pPr>
      <w:r>
        <w:rPr>
          <w:rFonts w:hint="eastAsia" w:ascii="仿宋" w:hAnsi="仿宋" w:eastAsia="仿宋" w:cs="仿宋_GB2312"/>
          <w:sz w:val="28"/>
          <w:szCs w:val="28"/>
        </w:rPr>
        <w:t xml:space="preserve">综上，该研究成果发展了精准与舒适麻醉技术，丰富了加速康复外科内容，具有重要的学术意义。项目已取得 6 项发明和实用新型专利、1 部专著，发表论文 28 篇，其中 SCI </w:t>
      </w:r>
    </w:p>
    <w:p w14:paraId="1C51A29D">
      <w:pPr>
        <w:rPr>
          <w:rFonts w:hint="eastAsia" w:ascii="仿宋" w:hAnsi="仿宋" w:eastAsia="仿宋" w:cs="仿宋_GB2312"/>
          <w:sz w:val="28"/>
          <w:szCs w:val="28"/>
        </w:rPr>
      </w:pPr>
      <w:r>
        <w:rPr>
          <w:rFonts w:hint="eastAsia" w:ascii="仿宋" w:hAnsi="仿宋" w:eastAsia="仿宋" w:cs="仿宋_GB2312"/>
          <w:sz w:val="28"/>
          <w:szCs w:val="28"/>
        </w:rPr>
        <w:t>23 篇，研究成果成功应用于临床和教学，并在适宜技术推广和围术期超声课程建设等项目中得到推广应用，取得显著的社会经济效益。研究成果达到国际先进水平。</w:t>
      </w:r>
    </w:p>
    <w:p w14:paraId="73544FC7">
      <w:pPr>
        <w:ind w:firstLine="643" w:firstLineChars="200"/>
        <w:rPr>
          <w:rFonts w:hint="eastAsia" w:ascii="仿宋" w:hAnsi="仿宋" w:eastAsia="仿宋" w:cs="仿宋_GB2312"/>
          <w:b/>
          <w:bCs/>
          <w:szCs w:val="32"/>
          <w:lang w:eastAsia="zh-CN"/>
        </w:rPr>
      </w:pPr>
      <w:r>
        <w:rPr>
          <w:rFonts w:hint="eastAsia" w:ascii="仿宋" w:hAnsi="仿宋" w:eastAsia="仿宋" w:cs="仿宋_GB2312"/>
          <w:b/>
          <w:bCs/>
          <w:szCs w:val="32"/>
        </w:rPr>
        <w:t>6.代表性论文目录</w:t>
      </w:r>
      <w:r>
        <w:rPr>
          <w:rFonts w:hint="eastAsia" w:ascii="仿宋" w:hAnsi="仿宋" w:eastAsia="仿宋" w:cs="仿宋_GB2312"/>
          <w:b/>
          <w:bCs/>
          <w:szCs w:val="32"/>
          <w:lang w:eastAsia="zh-CN"/>
        </w:rPr>
        <w:t>：</w:t>
      </w:r>
    </w:p>
    <w:p w14:paraId="6F288211">
      <w:pPr>
        <w:rPr>
          <w:rFonts w:ascii="Times New Roman" w:hAnsi="Times New Roman" w:eastAsia="宋体" w:cs="Times New Roman"/>
          <w:sz w:val="22"/>
        </w:rPr>
      </w:pPr>
      <w:r>
        <w:rPr>
          <w:rFonts w:ascii="Times New Roman" w:hAnsi="Times New Roman" w:cs="Times New Roman"/>
          <w:sz w:val="22"/>
        </w:rPr>
        <w:t xml:space="preserve">[1] </w:t>
      </w:r>
      <w:r>
        <w:rPr>
          <w:rFonts w:hint="eastAsia" w:ascii="Times New Roman" w:hAnsi="Times New Roman" w:eastAsia="宋体" w:cs="Times New Roman"/>
          <w:sz w:val="22"/>
        </w:rPr>
        <w:t>Yu S, Wen Y,</w:t>
      </w:r>
      <w:r>
        <w:rPr>
          <w:rFonts w:hint="eastAsia" w:ascii="Times New Roman" w:hAnsi="Times New Roman" w:eastAsia="宋体" w:cs="Times New Roman"/>
          <w:color w:val="000000" w:themeColor="text1"/>
          <w:sz w:val="22"/>
          <w14:textFill>
            <w14:solidFill>
              <w14:schemeClr w14:val="tx1"/>
            </w14:solidFill>
          </w14:textFill>
        </w:rPr>
        <w:t xml:space="preserve"> Lin J,</w:t>
      </w:r>
      <w:r>
        <w:rPr>
          <w:rFonts w:hint="eastAsia" w:ascii="Times New Roman" w:hAnsi="Times New Roman" w:eastAsia="宋体" w:cs="Times New Roman"/>
          <w:sz w:val="22"/>
        </w:rPr>
        <w:t xml:space="preserve"> Yang J, He Y, </w:t>
      </w:r>
      <w:r>
        <w:rPr>
          <w:rFonts w:hint="eastAsia" w:ascii="Times New Roman" w:hAnsi="Times New Roman" w:eastAsia="宋体" w:cs="Times New Roman"/>
          <w:color w:val="0000FF"/>
          <w:sz w:val="22"/>
        </w:rPr>
        <w:t>Zuo Y</w:t>
      </w:r>
      <w:r>
        <w:rPr>
          <w:rFonts w:hint="eastAsia" w:ascii="Times New Roman" w:hAnsi="Times New Roman" w:eastAsia="宋体" w:cs="Times New Roman"/>
          <w:sz w:val="22"/>
        </w:rPr>
        <w:t>. Combined rectus sheath block with transverse abdominis plane block by one puncture for analgesia after laparoscopic upper abdominal surgery: a randomized controlled prospective study. BMC Anesthesiol. 2024 Feb 9;24(1):58.</w:t>
      </w:r>
    </w:p>
    <w:p w14:paraId="0012B034">
      <w:pPr>
        <w:rPr>
          <w:rFonts w:ascii="Times New Roman" w:hAnsi="Times New Roman" w:eastAsia="宋体" w:cs="Times New Roman"/>
          <w:sz w:val="22"/>
        </w:rPr>
      </w:pPr>
      <w:r>
        <w:rPr>
          <w:rFonts w:hint="eastAsia" w:ascii="Times New Roman" w:hAnsi="Times New Roman" w:eastAsia="宋体" w:cs="Times New Roman"/>
          <w:color w:val="000000" w:themeColor="text1"/>
          <w:sz w:val="22"/>
          <w14:textFill>
            <w14:solidFill>
              <w14:schemeClr w14:val="tx1"/>
            </w14:solidFill>
          </w14:textFill>
        </w:rPr>
        <w:t xml:space="preserve">[2] </w:t>
      </w:r>
      <w:r>
        <w:rPr>
          <w:rFonts w:hint="eastAsia" w:ascii="Times New Roman" w:hAnsi="Times New Roman" w:eastAsia="宋体" w:cs="Times New Roman"/>
          <w:color w:val="0000FF"/>
          <w:sz w:val="22"/>
        </w:rPr>
        <w:t>Zuo Y</w:t>
      </w:r>
      <w:r>
        <w:rPr>
          <w:rFonts w:hint="eastAsia" w:ascii="Times New Roman" w:hAnsi="Times New Roman" w:eastAsia="宋体" w:cs="Times New Roman"/>
          <w:sz w:val="22"/>
        </w:rPr>
        <w:t>, Hu X, Yang Q, Zhao L, Chen X, Lin J, Yang T. Preoperative vitamin-rich carbohydrate loading alleviates postoperative cognitive dysfunction in aged rats. Behav Brain Res. 2019 Nov 5;373:112107.</w:t>
      </w:r>
    </w:p>
    <w:p w14:paraId="67FE6F43">
      <w:pPr>
        <w:rPr>
          <w:rFonts w:ascii="Times New Roman" w:hAnsi="Times New Roman" w:eastAsia="宋体" w:cs="Times New Roman"/>
          <w:sz w:val="22"/>
        </w:rPr>
      </w:pPr>
      <w:r>
        <w:rPr>
          <w:rFonts w:hint="eastAsia" w:ascii="Times New Roman" w:hAnsi="Times New Roman" w:eastAsia="宋体" w:cs="Times New Roman"/>
          <w:sz w:val="22"/>
        </w:rPr>
        <w:t xml:space="preserve">[3] </w:t>
      </w:r>
      <w:r>
        <w:rPr>
          <w:rFonts w:ascii="Times New Roman" w:hAnsi="Times New Roman" w:eastAsia="宋体" w:cs="Times New Roman"/>
          <w:sz w:val="22"/>
        </w:rPr>
        <w:t>Wang S, Gao PF, Guo X, Xu Q, Zhang YF, Wang GQ,</w:t>
      </w:r>
      <w:r>
        <w:rPr>
          <w:rFonts w:ascii="Times New Roman" w:hAnsi="Times New Roman" w:eastAsia="宋体" w:cs="Times New Roman"/>
          <w:color w:val="0000FF"/>
          <w:sz w:val="22"/>
        </w:rPr>
        <w:t xml:space="preserve"> Lin JY</w:t>
      </w:r>
      <w:r>
        <w:rPr>
          <w:rFonts w:ascii="Times New Roman" w:hAnsi="Times New Roman" w:eastAsia="宋体" w:cs="Times New Roman"/>
          <w:sz w:val="22"/>
        </w:rPr>
        <w:t xml:space="preserve">. Effect of low-concentration carbohydrate on patient-centered quality of recovery in patients undergoing thyroidectomy: a prospective randomized trial. BMC Anesthesiol. 2021 Apr 6;21(1):103. </w:t>
      </w:r>
    </w:p>
    <w:p w14:paraId="26FF5C46">
      <w:pPr>
        <w:rPr>
          <w:rFonts w:ascii="Times New Roman" w:hAnsi="Times New Roman" w:eastAsia="宋体" w:cs="Times New Roman"/>
          <w:sz w:val="22"/>
        </w:rPr>
      </w:pPr>
      <w:r>
        <w:rPr>
          <w:rFonts w:hint="eastAsia" w:ascii="Times New Roman" w:hAnsi="Times New Roman" w:eastAsia="宋体" w:cs="Times New Roman"/>
          <w:color w:val="000000" w:themeColor="text1"/>
          <w:sz w:val="22"/>
          <w14:textFill>
            <w14:solidFill>
              <w14:schemeClr w14:val="tx1"/>
            </w14:solidFill>
          </w14:textFill>
        </w:rPr>
        <w:t>[4]</w:t>
      </w:r>
      <w:r>
        <w:rPr>
          <w:rFonts w:hint="eastAsia" w:ascii="Times New Roman" w:hAnsi="Times New Roman" w:eastAsia="宋体" w:cs="Times New Roman"/>
          <w:color w:val="0000FF"/>
          <w:sz w:val="22"/>
        </w:rPr>
        <w:t xml:space="preserve"> Zhao Y</w:t>
      </w:r>
      <w:r>
        <w:rPr>
          <w:rFonts w:hint="eastAsia" w:ascii="Times New Roman" w:hAnsi="Times New Roman" w:eastAsia="宋体" w:cs="Times New Roman"/>
          <w:sz w:val="22"/>
        </w:rPr>
        <w:t>, Chen Y, Liu Z, Zhou L, Huang J, Luo X, Luo Y, Li J, Lin Y, Lai J, Liu J. TXNIP knockdown protects rats against bupivacaine-induced spinal neurotoxicity via the inhibition of oxidative stress and apoptosis. Free Radic Biol Med. 2024 Jul;219:1-16.</w:t>
      </w:r>
    </w:p>
    <w:p w14:paraId="2D839F01">
      <w:pPr>
        <w:rPr>
          <w:rFonts w:ascii="Times New Roman" w:hAnsi="Times New Roman" w:eastAsia="宋体" w:cs="Times New Roman"/>
          <w:sz w:val="22"/>
        </w:rPr>
      </w:pPr>
      <w:r>
        <w:rPr>
          <w:rFonts w:hint="eastAsia" w:ascii="Times New Roman" w:hAnsi="Times New Roman" w:eastAsia="宋体" w:cs="Times New Roman"/>
          <w:color w:val="000000" w:themeColor="text1"/>
          <w:sz w:val="22"/>
          <w14:textFill>
            <w14:solidFill>
              <w14:schemeClr w14:val="tx1"/>
            </w14:solidFill>
          </w14:textFill>
        </w:rPr>
        <w:t>[5]</w:t>
      </w:r>
      <w:r>
        <w:rPr>
          <w:rFonts w:hint="eastAsia" w:ascii="Times New Roman" w:hAnsi="Times New Roman" w:eastAsia="宋体" w:cs="Times New Roman"/>
          <w:color w:val="0000FF"/>
          <w:sz w:val="22"/>
        </w:rPr>
        <w:t xml:space="preserve"> Feng Y</w:t>
      </w:r>
      <w:r>
        <w:rPr>
          <w:rFonts w:hint="eastAsia" w:ascii="Times New Roman" w:hAnsi="Times New Roman" w:eastAsia="宋体" w:cs="Times New Roman"/>
          <w:sz w:val="22"/>
        </w:rPr>
        <w:t>, Chang P, Kang Y, Liao P, Li CY, Liu J, Zhang WS. Etomidate-</w:t>
      </w:r>
      <w:r>
        <w:rPr>
          <w:rFonts w:ascii="Times New Roman" w:hAnsi="Times New Roman" w:eastAsia="宋体" w:cs="Times New Roman"/>
          <w:sz w:val="22"/>
        </w:rPr>
        <w:t>induced myoclonus in sprague-dawley rats involves neocortical glutamate accumulation</w:t>
      </w:r>
      <w:r>
        <w:rPr>
          <w:rFonts w:hint="eastAsia" w:ascii="Times New Roman" w:hAnsi="Times New Roman" w:eastAsia="宋体" w:cs="Times New Roman"/>
          <w:sz w:val="22"/>
        </w:rPr>
        <w:t xml:space="preserve"> and N -Methyl- d -Aspartate </w:t>
      </w:r>
      <w:r>
        <w:rPr>
          <w:rFonts w:ascii="Times New Roman" w:hAnsi="Times New Roman" w:eastAsia="宋体" w:cs="Times New Roman"/>
          <w:sz w:val="22"/>
        </w:rPr>
        <w:t>receptor activity</w:t>
      </w:r>
      <w:r>
        <w:rPr>
          <w:rFonts w:hint="eastAsia" w:ascii="Times New Roman" w:hAnsi="Times New Roman" w:eastAsia="宋体" w:cs="Times New Roman"/>
          <w:sz w:val="22"/>
        </w:rPr>
        <w:t xml:space="preserve">. Anesth Analg. 2023 Jul 1;137(1):221-233. </w:t>
      </w:r>
    </w:p>
    <w:p w14:paraId="2D77BE55">
      <w:pPr>
        <w:rPr>
          <w:rFonts w:ascii="Times New Roman" w:hAnsi="Times New Roman" w:eastAsia="宋体" w:cs="Times New Roman"/>
          <w:sz w:val="22"/>
        </w:rPr>
      </w:pPr>
      <w:r>
        <w:rPr>
          <w:rFonts w:hint="eastAsia" w:ascii="Times New Roman" w:hAnsi="Times New Roman" w:eastAsia="宋体" w:cs="Times New Roman"/>
          <w:sz w:val="22"/>
        </w:rPr>
        <w:t xml:space="preserve">[6] Liu Q, </w:t>
      </w:r>
      <w:r>
        <w:rPr>
          <w:rFonts w:hint="eastAsia" w:ascii="Times New Roman" w:hAnsi="Times New Roman" w:eastAsia="宋体" w:cs="Times New Roman"/>
          <w:color w:val="0000FF"/>
          <w:sz w:val="22"/>
        </w:rPr>
        <w:t>Lin JY</w:t>
      </w:r>
      <w:r>
        <w:rPr>
          <w:rFonts w:hint="eastAsia" w:ascii="Times New Roman" w:hAnsi="Times New Roman" w:eastAsia="宋体" w:cs="Times New Roman"/>
          <w:sz w:val="22"/>
        </w:rPr>
        <w:t>, Zhang YF, Zhu N, Wang GQ, Wang S, Gao PF. Effects of epidural combined with general anesthesia versus general anesthesia on quality of recovery of elderly patients undergoing laparoscopic radical resection of colorectal cancer: A prospective randomized trial. J Clin Anesth. 2020 Jun;62:109742.</w:t>
      </w:r>
    </w:p>
    <w:p w14:paraId="65CD9BF7">
      <w:pPr>
        <w:rPr>
          <w:rFonts w:ascii="Times New Roman" w:hAnsi="Times New Roman" w:eastAsia="宋体" w:cs="Times New Roman"/>
          <w:sz w:val="22"/>
        </w:rPr>
      </w:pPr>
      <w:r>
        <w:rPr>
          <w:rFonts w:hint="eastAsia" w:ascii="Times New Roman" w:hAnsi="Times New Roman" w:eastAsia="宋体" w:cs="Times New Roman"/>
          <w:color w:val="000000" w:themeColor="text1"/>
          <w:sz w:val="22"/>
          <w14:textFill>
            <w14:solidFill>
              <w14:schemeClr w14:val="tx1"/>
            </w14:solidFill>
          </w14:textFill>
        </w:rPr>
        <w:t xml:space="preserve">[7] </w:t>
      </w:r>
      <w:r>
        <w:rPr>
          <w:rFonts w:ascii="Times New Roman" w:hAnsi="Times New Roman" w:eastAsia="宋体" w:cs="Times New Roman"/>
          <w:color w:val="0000FF"/>
          <w:sz w:val="22"/>
        </w:rPr>
        <w:t>Xin Juan</w:t>
      </w:r>
      <w:r>
        <w:rPr>
          <w:rFonts w:ascii="Times New Roman" w:hAnsi="Times New Roman" w:eastAsia="宋体" w:cs="Times New Roman"/>
          <w:sz w:val="22"/>
        </w:rPr>
        <w:t>*; Zhang Yabing*; Li Qian; Cheng Xu; Lin Yanjun; Liu Bin</w:t>
      </w:r>
      <w:r>
        <w:rPr>
          <w:rFonts w:ascii="Times New Roman" w:hAnsi="Times New Roman" w:eastAsia="宋体" w:cs="Times New Roman"/>
          <w:sz w:val="22"/>
          <w:vertAlign w:val="superscript"/>
        </w:rPr>
        <w:t>#</w:t>
      </w:r>
      <w:r>
        <w:rPr>
          <w:rFonts w:ascii="Times New Roman" w:hAnsi="Times New Roman" w:eastAsia="宋体" w:cs="Times New Roman"/>
          <w:sz w:val="22"/>
        </w:rPr>
        <w:t>; Zhou Leng</w:t>
      </w:r>
      <w:r>
        <w:rPr>
          <w:rFonts w:ascii="Times New Roman" w:hAnsi="Times New Roman" w:eastAsia="宋体" w:cs="Times New Roman"/>
          <w:sz w:val="22"/>
          <w:vertAlign w:val="superscript"/>
        </w:rPr>
        <w:t>#</w:t>
      </w:r>
      <w:r>
        <w:rPr>
          <w:rFonts w:ascii="Times New Roman" w:hAnsi="Times New Roman" w:eastAsia="宋体" w:cs="Times New Roman"/>
          <w:sz w:val="22"/>
        </w:rPr>
        <w:t xml:space="preserve">; Adductor canal block is similar to femoral nerve block for the quality of rehabilitation after arthroscopic partial meniscectomy, </w:t>
      </w:r>
      <w:r>
        <w:rPr>
          <w:rFonts w:ascii="Times New Roman" w:hAnsi="Times New Roman" w:eastAsia="宋体" w:cs="Times New Roman"/>
          <w:i/>
          <w:iCs/>
          <w:sz w:val="22"/>
        </w:rPr>
        <w:t>Knee Surg Sports Traumatol Arthrosc</w:t>
      </w:r>
      <w:r>
        <w:rPr>
          <w:rFonts w:ascii="Times New Roman" w:hAnsi="Times New Roman" w:eastAsia="宋体" w:cs="Times New Roman"/>
          <w:sz w:val="22"/>
        </w:rPr>
        <w:t xml:space="preserve">, 2020, 28(7): 2334-2342. </w:t>
      </w:r>
    </w:p>
    <w:p w14:paraId="1BE551D0">
      <w:pPr>
        <w:rPr>
          <w:rFonts w:ascii="Times New Roman" w:hAnsi="Times New Roman" w:eastAsia="宋体" w:cs="Times New Roman"/>
          <w:sz w:val="22"/>
        </w:rPr>
      </w:pPr>
      <w:r>
        <w:rPr>
          <w:rFonts w:hint="eastAsia" w:ascii="Times New Roman" w:hAnsi="Times New Roman" w:eastAsia="宋体" w:cs="Times New Roman"/>
          <w:color w:val="000000" w:themeColor="text1"/>
          <w:sz w:val="22"/>
          <w14:textFill>
            <w14:solidFill>
              <w14:schemeClr w14:val="tx1"/>
            </w14:solidFill>
          </w14:textFill>
        </w:rPr>
        <w:t xml:space="preserve">[8] </w:t>
      </w:r>
      <w:r>
        <w:rPr>
          <w:rFonts w:ascii="Times New Roman" w:hAnsi="Times New Roman" w:eastAsia="宋体" w:cs="Times New Roman"/>
          <w:color w:val="0000FF"/>
          <w:sz w:val="22"/>
        </w:rPr>
        <w:t>Yang Y</w:t>
      </w:r>
      <w:r>
        <w:rPr>
          <w:rFonts w:ascii="Times New Roman" w:hAnsi="Times New Roman" w:eastAsia="宋体" w:cs="Times New Roman"/>
          <w:sz w:val="22"/>
        </w:rPr>
        <w:t>, Geng Y, Zhang D, Wan Y, Wang R. Effect of lung recruitment maneuvers on reduction of atelectasis determined by lung ultrasound in patients more than 60 years old undergoing laparoscopic surgery for colorectal carcinoma: A prospective study at a single center. Med Sci Monit. 2021 Jan 18;27:e926748.</w:t>
      </w:r>
    </w:p>
    <w:p w14:paraId="47804E70">
      <w:pPr>
        <w:rPr>
          <w:rFonts w:ascii="Times New Roman" w:hAnsi="Times New Roman" w:eastAsia="宋体" w:cs="Times New Roman"/>
          <w:sz w:val="22"/>
        </w:rPr>
      </w:pPr>
      <w:r>
        <w:rPr>
          <w:rFonts w:hint="eastAsia" w:ascii="Times New Roman" w:hAnsi="Times New Roman" w:eastAsia="宋体" w:cs="Times New Roman"/>
          <w:color w:val="000000" w:themeColor="text1"/>
          <w:sz w:val="22"/>
          <w14:textFill>
            <w14:solidFill>
              <w14:schemeClr w14:val="tx1"/>
            </w14:solidFill>
          </w14:textFill>
        </w:rPr>
        <w:t>[9]</w:t>
      </w:r>
      <w:r>
        <w:rPr>
          <w:rFonts w:hint="eastAsia" w:ascii="Times New Roman" w:hAnsi="Times New Roman" w:eastAsia="宋体" w:cs="Times New Roman"/>
          <w:color w:val="0000FF"/>
          <w:sz w:val="22"/>
        </w:rPr>
        <w:t xml:space="preserve"> </w:t>
      </w:r>
      <w:r>
        <w:rPr>
          <w:rFonts w:ascii="Times New Roman" w:hAnsi="Times New Roman" w:eastAsia="宋体" w:cs="Times New Roman"/>
          <w:color w:val="0000FF"/>
          <w:sz w:val="22"/>
        </w:rPr>
        <w:t>Chen C</w:t>
      </w:r>
      <w:r>
        <w:rPr>
          <w:rFonts w:ascii="Times New Roman" w:hAnsi="Times New Roman" w:eastAsia="宋体" w:cs="Times New Roman"/>
          <w:sz w:val="22"/>
        </w:rPr>
        <w:t>, Wen D, Wang Y, Li H, Yu Q, Li M. A spray-as-you-go airway topical anesthesia attenuates cardiovascular responses for double-lumen tube tracheal intubation. BMC Anesthesiol. 2022 Jul 2;22(1):203.</w:t>
      </w:r>
    </w:p>
    <w:p w14:paraId="099AE941">
      <w:pPr>
        <w:rPr>
          <w:rFonts w:hint="eastAsia" w:ascii="仿宋" w:hAnsi="仿宋" w:eastAsia="仿宋" w:cs="仿宋_GB2312"/>
          <w:szCs w:val="32"/>
          <w:lang w:eastAsia="zh-CN"/>
        </w:rPr>
      </w:pPr>
      <w:r>
        <w:rPr>
          <w:rFonts w:hint="eastAsia" w:ascii="Times New Roman" w:hAnsi="Times New Roman" w:eastAsia="宋体" w:cs="Times New Roman"/>
          <w:sz w:val="22"/>
        </w:rPr>
        <w:t xml:space="preserve">[10] </w:t>
      </w:r>
      <w:r>
        <w:rPr>
          <w:rFonts w:ascii="Times New Roman" w:hAnsi="Times New Roman" w:eastAsia="宋体" w:cs="Times New Roman"/>
          <w:sz w:val="22"/>
        </w:rPr>
        <w:t xml:space="preserve">Luo D, Su Y, </w:t>
      </w:r>
      <w:r>
        <w:rPr>
          <w:rFonts w:ascii="Times New Roman" w:hAnsi="Times New Roman" w:eastAsia="宋体" w:cs="Times New Roman"/>
          <w:color w:val="0000FF"/>
          <w:sz w:val="22"/>
        </w:rPr>
        <w:t>Pang Y</w:t>
      </w:r>
      <w:r>
        <w:rPr>
          <w:rFonts w:ascii="Times New Roman" w:hAnsi="Times New Roman" w:eastAsia="宋体" w:cs="Times New Roman"/>
          <w:sz w:val="22"/>
        </w:rPr>
        <w:t>. Effects of ultrasound-guided stellate ganglion block on postoperative sore throat and postoperative sleep disturbance after lumbar spine surgery: a randomized controlled trial. BMC Anesthesiol. 2023 Oct 14;23(1):343.</w:t>
      </w:r>
    </w:p>
    <w:p w14:paraId="04856FEB">
      <w:pPr>
        <w:ind w:firstLine="640" w:firstLineChars="200"/>
        <w:rPr>
          <w:rFonts w:hint="eastAsia" w:ascii="仿宋" w:hAnsi="仿宋" w:eastAsia="仿宋" w:cs="仿宋_GB2312"/>
          <w:szCs w:val="32"/>
          <w:lang w:eastAsia="zh-CN"/>
        </w:rPr>
      </w:pPr>
      <w:r>
        <w:rPr>
          <w:rFonts w:hint="eastAsia" w:ascii="仿宋" w:hAnsi="仿宋" w:eastAsia="仿宋" w:cs="仿宋_GB2312"/>
          <w:szCs w:val="32"/>
        </w:rPr>
        <w:t>7.知识产权证明目录</w:t>
      </w:r>
      <w:r>
        <w:rPr>
          <w:rFonts w:hint="eastAsia" w:ascii="仿宋" w:hAnsi="仿宋" w:eastAsia="仿宋" w:cs="仿宋_GB2312"/>
          <w:szCs w:val="32"/>
          <w:lang w:eastAsia="zh-CN"/>
        </w:rPr>
        <w:t>：</w:t>
      </w:r>
    </w:p>
    <w:tbl>
      <w:tblPr>
        <w:tblStyle w:val="4"/>
        <w:tblpPr w:leftFromText="180" w:rightFromText="180" w:vertAnchor="text" w:horzAnchor="page" w:tblpX="1471" w:tblpY="393"/>
        <w:tblOverlap w:val="never"/>
        <w:tblW w:w="9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146"/>
        <w:gridCol w:w="697"/>
        <w:gridCol w:w="1955"/>
        <w:gridCol w:w="1277"/>
        <w:gridCol w:w="1963"/>
        <w:gridCol w:w="1842"/>
      </w:tblGrid>
      <w:tr w14:paraId="17FB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4517E549">
            <w:pPr>
              <w:pStyle w:val="2"/>
              <w:spacing w:line="320" w:lineRule="exact"/>
              <w:jc w:val="center"/>
              <w:rPr>
                <w:rFonts w:hint="eastAsia" w:ascii="仿宋" w:hAnsi="仿宋" w:eastAsia="仿宋" w:cs="仿宋"/>
                <w:b/>
                <w:bCs/>
                <w:sz w:val="21"/>
                <w:szCs w:val="21"/>
              </w:rPr>
            </w:pPr>
            <w:r>
              <w:rPr>
                <w:rFonts w:hint="eastAsia" w:ascii="仿宋" w:hAnsi="仿宋" w:eastAsia="仿宋" w:cs="仿宋"/>
                <w:b/>
                <w:bCs/>
                <w:sz w:val="21"/>
                <w:szCs w:val="21"/>
              </w:rPr>
              <w:t>序号</w:t>
            </w:r>
          </w:p>
        </w:tc>
        <w:tc>
          <w:tcPr>
            <w:tcW w:w="1146" w:type="dxa"/>
            <w:vAlign w:val="center"/>
          </w:tcPr>
          <w:p w14:paraId="19800FA1">
            <w:pPr>
              <w:pStyle w:val="2"/>
              <w:spacing w:line="320" w:lineRule="exact"/>
              <w:jc w:val="center"/>
              <w:rPr>
                <w:rFonts w:hint="eastAsia" w:ascii="仿宋" w:hAnsi="仿宋" w:eastAsia="仿宋" w:cs="仿宋"/>
                <w:b/>
                <w:bCs/>
                <w:sz w:val="21"/>
                <w:szCs w:val="21"/>
              </w:rPr>
            </w:pPr>
            <w:r>
              <w:rPr>
                <w:rFonts w:hint="eastAsia" w:ascii="仿宋" w:hAnsi="仿宋" w:eastAsia="仿宋" w:cs="仿宋"/>
                <w:b/>
                <w:bCs/>
                <w:sz w:val="21"/>
                <w:szCs w:val="21"/>
              </w:rPr>
              <w:t>类别</w:t>
            </w:r>
          </w:p>
        </w:tc>
        <w:tc>
          <w:tcPr>
            <w:tcW w:w="697" w:type="dxa"/>
            <w:vAlign w:val="center"/>
          </w:tcPr>
          <w:p w14:paraId="5EE39814">
            <w:pPr>
              <w:pStyle w:val="2"/>
              <w:spacing w:line="320" w:lineRule="exact"/>
              <w:jc w:val="center"/>
              <w:rPr>
                <w:rFonts w:hint="eastAsia" w:ascii="仿宋" w:hAnsi="仿宋" w:eastAsia="仿宋" w:cs="仿宋"/>
                <w:b/>
                <w:bCs/>
                <w:sz w:val="21"/>
                <w:szCs w:val="21"/>
              </w:rPr>
            </w:pPr>
            <w:r>
              <w:rPr>
                <w:rFonts w:hint="eastAsia" w:ascii="仿宋" w:hAnsi="仿宋" w:eastAsia="仿宋" w:cs="仿宋"/>
                <w:b/>
                <w:bCs/>
                <w:sz w:val="21"/>
                <w:szCs w:val="21"/>
              </w:rPr>
              <w:t>国别</w:t>
            </w:r>
          </w:p>
        </w:tc>
        <w:tc>
          <w:tcPr>
            <w:tcW w:w="1955" w:type="dxa"/>
            <w:vAlign w:val="center"/>
          </w:tcPr>
          <w:p w14:paraId="46C72446">
            <w:pPr>
              <w:pStyle w:val="2"/>
              <w:spacing w:line="320" w:lineRule="exact"/>
              <w:jc w:val="center"/>
              <w:rPr>
                <w:rFonts w:hint="eastAsia" w:ascii="仿宋" w:hAnsi="仿宋" w:eastAsia="仿宋" w:cs="仿宋"/>
                <w:b/>
                <w:bCs/>
                <w:sz w:val="21"/>
                <w:szCs w:val="21"/>
              </w:rPr>
            </w:pPr>
            <w:r>
              <w:rPr>
                <w:rFonts w:hint="eastAsia" w:ascii="仿宋" w:hAnsi="仿宋" w:eastAsia="仿宋" w:cs="仿宋"/>
                <w:b/>
                <w:bCs/>
                <w:sz w:val="21"/>
                <w:szCs w:val="21"/>
              </w:rPr>
              <w:t>专利号</w:t>
            </w:r>
          </w:p>
        </w:tc>
        <w:tc>
          <w:tcPr>
            <w:tcW w:w="1277" w:type="dxa"/>
            <w:vAlign w:val="center"/>
          </w:tcPr>
          <w:p w14:paraId="57FE1DED">
            <w:pPr>
              <w:pStyle w:val="2"/>
              <w:spacing w:line="320" w:lineRule="exact"/>
              <w:rPr>
                <w:rFonts w:hint="eastAsia" w:ascii="仿宋" w:hAnsi="仿宋" w:eastAsia="仿宋" w:cs="仿宋"/>
                <w:b/>
                <w:bCs/>
                <w:sz w:val="21"/>
                <w:szCs w:val="21"/>
              </w:rPr>
            </w:pPr>
            <w:r>
              <w:rPr>
                <w:rFonts w:hint="eastAsia" w:ascii="仿宋" w:hAnsi="仿宋" w:eastAsia="仿宋" w:cs="仿宋"/>
                <w:b/>
                <w:bCs/>
                <w:sz w:val="21"/>
                <w:szCs w:val="21"/>
              </w:rPr>
              <w:t>授权时间</w:t>
            </w:r>
          </w:p>
        </w:tc>
        <w:tc>
          <w:tcPr>
            <w:tcW w:w="1963" w:type="dxa"/>
            <w:vAlign w:val="center"/>
          </w:tcPr>
          <w:p w14:paraId="0970A9B1">
            <w:pPr>
              <w:pStyle w:val="2"/>
              <w:spacing w:line="320" w:lineRule="exact"/>
              <w:jc w:val="center"/>
              <w:rPr>
                <w:rFonts w:hint="eastAsia" w:ascii="仿宋" w:hAnsi="仿宋" w:eastAsia="仿宋" w:cs="仿宋"/>
                <w:b/>
                <w:bCs/>
                <w:sz w:val="21"/>
                <w:szCs w:val="21"/>
              </w:rPr>
            </w:pPr>
            <w:r>
              <w:rPr>
                <w:rFonts w:hint="eastAsia" w:ascii="仿宋" w:hAnsi="仿宋" w:eastAsia="仿宋" w:cs="仿宋"/>
                <w:b/>
                <w:bCs/>
                <w:sz w:val="21"/>
                <w:szCs w:val="21"/>
              </w:rPr>
              <w:t>知识产权具体名称</w:t>
            </w:r>
          </w:p>
        </w:tc>
        <w:tc>
          <w:tcPr>
            <w:tcW w:w="1842" w:type="dxa"/>
            <w:vAlign w:val="center"/>
          </w:tcPr>
          <w:p w14:paraId="09B1D853">
            <w:pPr>
              <w:pStyle w:val="2"/>
              <w:spacing w:line="320" w:lineRule="exact"/>
              <w:jc w:val="center"/>
              <w:rPr>
                <w:rFonts w:hint="eastAsia" w:ascii="仿宋" w:hAnsi="仿宋" w:eastAsia="仿宋" w:cs="仿宋"/>
                <w:b/>
                <w:bCs/>
                <w:sz w:val="21"/>
                <w:szCs w:val="21"/>
              </w:rPr>
            </w:pPr>
            <w:r>
              <w:rPr>
                <w:rFonts w:hint="eastAsia" w:ascii="仿宋" w:hAnsi="仿宋" w:eastAsia="仿宋" w:cs="仿宋"/>
                <w:b/>
                <w:bCs/>
                <w:sz w:val="21"/>
                <w:szCs w:val="21"/>
              </w:rPr>
              <w:t>全部发明人</w:t>
            </w:r>
          </w:p>
        </w:tc>
      </w:tr>
      <w:tr w14:paraId="7D0F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2D3C371C">
            <w:pPr>
              <w:pStyle w:val="2"/>
              <w:spacing w:line="39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1146" w:type="dxa"/>
            <w:shd w:val="clear" w:color="auto" w:fill="auto"/>
            <w:vAlign w:val="center"/>
          </w:tcPr>
          <w:p w14:paraId="18C4B6D9">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实用新型</w:t>
            </w:r>
          </w:p>
        </w:tc>
        <w:tc>
          <w:tcPr>
            <w:tcW w:w="697" w:type="dxa"/>
            <w:shd w:val="clear" w:color="auto" w:fill="auto"/>
            <w:vAlign w:val="center"/>
          </w:tcPr>
          <w:p w14:paraId="121E09D3">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中国</w:t>
            </w:r>
          </w:p>
        </w:tc>
        <w:tc>
          <w:tcPr>
            <w:tcW w:w="1955" w:type="dxa"/>
            <w:shd w:val="clear" w:color="auto" w:fill="auto"/>
            <w:vAlign w:val="center"/>
          </w:tcPr>
          <w:p w14:paraId="647834B0">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ZL20202 2681202.0</w:t>
            </w:r>
          </w:p>
        </w:tc>
        <w:tc>
          <w:tcPr>
            <w:tcW w:w="1277" w:type="dxa"/>
            <w:shd w:val="clear" w:color="auto" w:fill="auto"/>
            <w:vAlign w:val="center"/>
          </w:tcPr>
          <w:p w14:paraId="3FE2DFA5">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2020.11.18</w:t>
            </w:r>
          </w:p>
        </w:tc>
        <w:tc>
          <w:tcPr>
            <w:tcW w:w="1963" w:type="dxa"/>
            <w:shd w:val="clear" w:color="auto" w:fill="auto"/>
            <w:vAlign w:val="center"/>
          </w:tcPr>
          <w:p w14:paraId="5F47AEBE">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一种纤支镜引导气管插管辅助件</w:t>
            </w:r>
          </w:p>
        </w:tc>
        <w:tc>
          <w:tcPr>
            <w:tcW w:w="1842" w:type="dxa"/>
            <w:shd w:val="clear" w:color="auto" w:fill="auto"/>
            <w:vAlign w:val="center"/>
          </w:tcPr>
          <w:p w14:paraId="03EE2E3E">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陈昌林；李金穗</w:t>
            </w:r>
          </w:p>
        </w:tc>
      </w:tr>
      <w:tr w14:paraId="52B07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1C24BB19">
            <w:pPr>
              <w:pStyle w:val="2"/>
              <w:spacing w:line="39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1146" w:type="dxa"/>
            <w:shd w:val="clear" w:color="auto" w:fill="auto"/>
            <w:vAlign w:val="center"/>
          </w:tcPr>
          <w:p w14:paraId="43E7A009">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实用新型</w:t>
            </w:r>
          </w:p>
        </w:tc>
        <w:tc>
          <w:tcPr>
            <w:tcW w:w="697" w:type="dxa"/>
            <w:shd w:val="clear" w:color="auto" w:fill="auto"/>
            <w:vAlign w:val="center"/>
          </w:tcPr>
          <w:p w14:paraId="13965A4D">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中国</w:t>
            </w:r>
          </w:p>
        </w:tc>
        <w:tc>
          <w:tcPr>
            <w:tcW w:w="1955" w:type="dxa"/>
            <w:shd w:val="clear" w:color="auto" w:fill="auto"/>
            <w:vAlign w:val="center"/>
          </w:tcPr>
          <w:p w14:paraId="5F5D0489">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CN202321494801.9</w:t>
            </w:r>
          </w:p>
        </w:tc>
        <w:tc>
          <w:tcPr>
            <w:tcW w:w="1277" w:type="dxa"/>
            <w:shd w:val="clear" w:color="auto" w:fill="auto"/>
            <w:vAlign w:val="center"/>
          </w:tcPr>
          <w:p w14:paraId="401AB95B">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2023.11.03</w:t>
            </w:r>
          </w:p>
        </w:tc>
        <w:tc>
          <w:tcPr>
            <w:tcW w:w="1963" w:type="dxa"/>
            <w:shd w:val="clear" w:color="auto" w:fill="auto"/>
            <w:vAlign w:val="center"/>
          </w:tcPr>
          <w:p w14:paraId="7971CC9B">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一种无痛超声胃镜诊疗用喉罩</w:t>
            </w:r>
          </w:p>
        </w:tc>
        <w:tc>
          <w:tcPr>
            <w:tcW w:w="1842" w:type="dxa"/>
            <w:shd w:val="clear" w:color="auto" w:fill="auto"/>
            <w:vAlign w:val="center"/>
          </w:tcPr>
          <w:p w14:paraId="1D1667DA">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左友波;杨秋燕;林静;李洪琼;</w:t>
            </w:r>
          </w:p>
          <w:p w14:paraId="454C85A5">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张丹</w:t>
            </w:r>
          </w:p>
        </w:tc>
      </w:tr>
      <w:tr w14:paraId="2E2A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23FDC408">
            <w:pPr>
              <w:pStyle w:val="2"/>
              <w:spacing w:line="39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1146" w:type="dxa"/>
            <w:shd w:val="clear" w:color="auto" w:fill="auto"/>
            <w:vAlign w:val="center"/>
          </w:tcPr>
          <w:p w14:paraId="63FB493A">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发明专利</w:t>
            </w:r>
          </w:p>
        </w:tc>
        <w:tc>
          <w:tcPr>
            <w:tcW w:w="697" w:type="dxa"/>
            <w:shd w:val="clear" w:color="auto" w:fill="auto"/>
            <w:vAlign w:val="center"/>
          </w:tcPr>
          <w:p w14:paraId="4B314533">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中国</w:t>
            </w:r>
          </w:p>
        </w:tc>
        <w:tc>
          <w:tcPr>
            <w:tcW w:w="1955" w:type="dxa"/>
            <w:shd w:val="clear" w:color="auto" w:fill="auto"/>
            <w:vAlign w:val="center"/>
          </w:tcPr>
          <w:p w14:paraId="682C6C2B">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CN202210006189.X</w:t>
            </w:r>
          </w:p>
        </w:tc>
        <w:tc>
          <w:tcPr>
            <w:tcW w:w="1277" w:type="dxa"/>
            <w:shd w:val="clear" w:color="auto" w:fill="auto"/>
            <w:vAlign w:val="center"/>
          </w:tcPr>
          <w:p w14:paraId="48FBCF87">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2023.2.24</w:t>
            </w:r>
          </w:p>
        </w:tc>
        <w:tc>
          <w:tcPr>
            <w:tcW w:w="1963" w:type="dxa"/>
            <w:shd w:val="clear" w:color="auto" w:fill="auto"/>
            <w:vAlign w:val="center"/>
          </w:tcPr>
          <w:p w14:paraId="47905E33">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一种温度监控装置</w:t>
            </w:r>
          </w:p>
        </w:tc>
        <w:tc>
          <w:tcPr>
            <w:tcW w:w="1842" w:type="dxa"/>
            <w:shd w:val="clear" w:color="auto" w:fill="auto"/>
            <w:vAlign w:val="center"/>
          </w:tcPr>
          <w:p w14:paraId="3603C6CA">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辛娟</w:t>
            </w:r>
          </w:p>
        </w:tc>
      </w:tr>
      <w:tr w14:paraId="4B10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5F6DD0B9">
            <w:pPr>
              <w:pStyle w:val="2"/>
              <w:spacing w:line="39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1146" w:type="dxa"/>
            <w:shd w:val="clear" w:color="auto" w:fill="auto"/>
            <w:vAlign w:val="center"/>
          </w:tcPr>
          <w:p w14:paraId="3AAEDF33">
            <w:pPr>
              <w:pStyle w:val="2"/>
              <w:spacing w:line="320" w:lineRule="exact"/>
              <w:jc w:val="both"/>
              <w:rPr>
                <w:rFonts w:hint="eastAsia" w:ascii="仿宋" w:hAnsi="仿宋" w:eastAsia="仿宋" w:cs="仿宋"/>
                <w:kern w:val="2"/>
                <w:sz w:val="21"/>
                <w:szCs w:val="21"/>
                <w:lang w:val="en-US" w:eastAsia="zh-CN" w:bidi="ar-SA"/>
              </w:rPr>
            </w:pPr>
            <w:r>
              <w:rPr>
                <w:rFonts w:hint="eastAsia" w:ascii="仿宋" w:hAnsi="仿宋" w:eastAsia="仿宋" w:cs="仿宋"/>
                <w:sz w:val="21"/>
                <w:szCs w:val="21"/>
              </w:rPr>
              <w:t>发明专</w:t>
            </w:r>
            <w:r>
              <w:rPr>
                <w:rFonts w:hint="eastAsia" w:ascii="仿宋" w:hAnsi="仿宋" w:eastAsia="仿宋" w:cs="仿宋"/>
                <w:sz w:val="21"/>
                <w:szCs w:val="21"/>
                <w:lang w:val="en-US" w:eastAsia="zh-CN"/>
              </w:rPr>
              <w:t>利</w:t>
            </w:r>
            <w:r>
              <w:rPr>
                <w:rFonts w:hint="eastAsia" w:ascii="仿宋" w:hAnsi="仿宋" w:eastAsia="仿宋" w:cs="仿宋"/>
                <w:sz w:val="21"/>
                <w:szCs w:val="21"/>
              </w:rPr>
              <w:tab/>
            </w:r>
          </w:p>
        </w:tc>
        <w:tc>
          <w:tcPr>
            <w:tcW w:w="697" w:type="dxa"/>
            <w:shd w:val="clear" w:color="auto" w:fill="auto"/>
            <w:vAlign w:val="center"/>
          </w:tcPr>
          <w:p w14:paraId="3C331F07">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中国</w:t>
            </w:r>
          </w:p>
        </w:tc>
        <w:tc>
          <w:tcPr>
            <w:tcW w:w="1955" w:type="dxa"/>
            <w:shd w:val="clear" w:color="auto" w:fill="auto"/>
            <w:vAlign w:val="center"/>
          </w:tcPr>
          <w:p w14:paraId="4AB745F2">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ZL202110437289.3</w:t>
            </w:r>
          </w:p>
        </w:tc>
        <w:tc>
          <w:tcPr>
            <w:tcW w:w="1277" w:type="dxa"/>
            <w:shd w:val="clear" w:color="auto" w:fill="auto"/>
            <w:vAlign w:val="center"/>
          </w:tcPr>
          <w:p w14:paraId="3AF06108">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2023.2.7</w:t>
            </w:r>
          </w:p>
        </w:tc>
        <w:tc>
          <w:tcPr>
            <w:tcW w:w="1963" w:type="dxa"/>
            <w:shd w:val="clear" w:color="auto" w:fill="auto"/>
            <w:vAlign w:val="center"/>
          </w:tcPr>
          <w:p w14:paraId="5E111445">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一种辅助治疗创口感染的装置</w:t>
            </w:r>
          </w:p>
        </w:tc>
        <w:tc>
          <w:tcPr>
            <w:tcW w:w="1842" w:type="dxa"/>
            <w:shd w:val="clear" w:color="auto" w:fill="auto"/>
            <w:vAlign w:val="center"/>
          </w:tcPr>
          <w:p w14:paraId="05777AE8">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杨宇焦;云德波;董碧倩;耿媛;刘怡;张怡然;万勇</w:t>
            </w:r>
          </w:p>
        </w:tc>
      </w:tr>
      <w:tr w14:paraId="5192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7B151DA9">
            <w:pPr>
              <w:pStyle w:val="2"/>
              <w:spacing w:line="39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1146" w:type="dxa"/>
            <w:vAlign w:val="center"/>
          </w:tcPr>
          <w:p w14:paraId="47FA154A">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实用新型</w:t>
            </w:r>
          </w:p>
        </w:tc>
        <w:tc>
          <w:tcPr>
            <w:tcW w:w="697" w:type="dxa"/>
            <w:vAlign w:val="center"/>
          </w:tcPr>
          <w:p w14:paraId="3B6D65B4">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中国</w:t>
            </w:r>
          </w:p>
        </w:tc>
        <w:tc>
          <w:tcPr>
            <w:tcW w:w="1955" w:type="dxa"/>
            <w:vAlign w:val="center"/>
          </w:tcPr>
          <w:p w14:paraId="218BADE4">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CN202221849478.8</w:t>
            </w:r>
          </w:p>
        </w:tc>
        <w:tc>
          <w:tcPr>
            <w:tcW w:w="1277" w:type="dxa"/>
            <w:vAlign w:val="center"/>
          </w:tcPr>
          <w:p w14:paraId="01381FA1">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2023.02.10</w:t>
            </w:r>
          </w:p>
        </w:tc>
        <w:tc>
          <w:tcPr>
            <w:tcW w:w="1963" w:type="dxa"/>
            <w:vAlign w:val="center"/>
          </w:tcPr>
          <w:p w14:paraId="104538F1">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一种安置胃肠营养管防漏气的双气垫麻醉诱导面罩</w:t>
            </w:r>
          </w:p>
        </w:tc>
        <w:tc>
          <w:tcPr>
            <w:tcW w:w="1842" w:type="dxa"/>
            <w:vAlign w:val="center"/>
          </w:tcPr>
          <w:p w14:paraId="3709D270">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冯艳;张文胜;</w:t>
            </w:r>
          </w:p>
          <w:p w14:paraId="3D372621">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陈小波</w:t>
            </w:r>
          </w:p>
        </w:tc>
      </w:tr>
      <w:tr w14:paraId="0729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4467150C">
            <w:pPr>
              <w:pStyle w:val="2"/>
              <w:spacing w:line="390" w:lineRule="exact"/>
              <w:jc w:val="center"/>
              <w:rPr>
                <w:rFonts w:hint="eastAsia" w:ascii="仿宋" w:hAnsi="仿宋" w:eastAsia="仿宋" w:cs="仿宋"/>
                <w:sz w:val="21"/>
                <w:szCs w:val="21"/>
              </w:rPr>
            </w:pPr>
            <w:r>
              <w:rPr>
                <w:rFonts w:hint="eastAsia" w:ascii="仿宋" w:hAnsi="仿宋" w:eastAsia="仿宋" w:cs="仿宋"/>
                <w:sz w:val="21"/>
                <w:szCs w:val="21"/>
              </w:rPr>
              <w:t>6</w:t>
            </w:r>
          </w:p>
        </w:tc>
        <w:tc>
          <w:tcPr>
            <w:tcW w:w="1146" w:type="dxa"/>
            <w:shd w:val="clear" w:color="auto" w:fill="auto"/>
            <w:vAlign w:val="center"/>
          </w:tcPr>
          <w:p w14:paraId="22AC3765">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实用新型</w:t>
            </w:r>
          </w:p>
        </w:tc>
        <w:tc>
          <w:tcPr>
            <w:tcW w:w="697" w:type="dxa"/>
            <w:shd w:val="clear" w:color="auto" w:fill="auto"/>
            <w:vAlign w:val="center"/>
          </w:tcPr>
          <w:p w14:paraId="601BC77A">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中国</w:t>
            </w:r>
          </w:p>
        </w:tc>
        <w:tc>
          <w:tcPr>
            <w:tcW w:w="1955" w:type="dxa"/>
            <w:shd w:val="clear" w:color="auto" w:fill="auto"/>
            <w:vAlign w:val="center"/>
          </w:tcPr>
          <w:p w14:paraId="3D7C89C6">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CN201520627345.X</w:t>
            </w:r>
          </w:p>
        </w:tc>
        <w:tc>
          <w:tcPr>
            <w:tcW w:w="1277" w:type="dxa"/>
            <w:shd w:val="clear" w:color="auto" w:fill="auto"/>
            <w:vAlign w:val="center"/>
          </w:tcPr>
          <w:p w14:paraId="45312CA0">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2016</w:t>
            </w:r>
            <w:r>
              <w:rPr>
                <w:rFonts w:hint="eastAsia" w:ascii="仿宋" w:hAnsi="仿宋" w:eastAsia="仿宋" w:cs="仿宋"/>
                <w:sz w:val="21"/>
                <w:szCs w:val="21"/>
                <w:lang w:val="en-US" w:eastAsia="zh-CN"/>
              </w:rPr>
              <w:t>.</w:t>
            </w:r>
            <w:r>
              <w:rPr>
                <w:rFonts w:hint="eastAsia" w:ascii="仿宋" w:hAnsi="仿宋" w:eastAsia="仿宋" w:cs="仿宋"/>
                <w:sz w:val="21"/>
                <w:szCs w:val="21"/>
              </w:rPr>
              <w:t>01</w:t>
            </w:r>
            <w:r>
              <w:rPr>
                <w:rFonts w:hint="eastAsia" w:ascii="仿宋" w:hAnsi="仿宋" w:eastAsia="仿宋" w:cs="仿宋"/>
                <w:sz w:val="21"/>
                <w:szCs w:val="21"/>
                <w:lang w:val="en-US" w:eastAsia="zh-CN"/>
              </w:rPr>
              <w:t>.</w:t>
            </w:r>
            <w:r>
              <w:rPr>
                <w:rFonts w:hint="eastAsia" w:ascii="仿宋" w:hAnsi="仿宋" w:eastAsia="仿宋" w:cs="仿宋"/>
                <w:sz w:val="21"/>
                <w:szCs w:val="21"/>
              </w:rPr>
              <w:t>06</w:t>
            </w:r>
          </w:p>
        </w:tc>
        <w:tc>
          <w:tcPr>
            <w:tcW w:w="1963" w:type="dxa"/>
            <w:shd w:val="clear" w:color="auto" w:fill="auto"/>
            <w:vAlign w:val="center"/>
          </w:tcPr>
          <w:p w14:paraId="68660E7A">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经肛门直肠升温装置</w:t>
            </w:r>
          </w:p>
        </w:tc>
        <w:tc>
          <w:tcPr>
            <w:tcW w:w="1842" w:type="dxa"/>
            <w:shd w:val="clear" w:color="auto" w:fill="auto"/>
            <w:vAlign w:val="center"/>
          </w:tcPr>
          <w:p w14:paraId="0C9C41D0">
            <w:pPr>
              <w:pStyle w:val="2"/>
              <w:spacing w:line="320" w:lineRule="exact"/>
              <w:jc w:val="center"/>
              <w:rPr>
                <w:rFonts w:hint="eastAsia" w:ascii="仿宋" w:hAnsi="仿宋" w:eastAsia="仿宋" w:cs="仿宋"/>
                <w:sz w:val="21"/>
                <w:szCs w:val="21"/>
              </w:rPr>
            </w:pPr>
            <w:r>
              <w:rPr>
                <w:rFonts w:hint="eastAsia" w:ascii="仿宋" w:hAnsi="仿宋" w:eastAsia="仿宋" w:cs="仿宋"/>
                <w:sz w:val="21"/>
                <w:szCs w:val="21"/>
              </w:rPr>
              <w:t>左友波;陈斌;</w:t>
            </w:r>
          </w:p>
          <w:p w14:paraId="3134A7AC">
            <w:pPr>
              <w:pStyle w:val="2"/>
              <w:spacing w:line="3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万勇</w:t>
            </w:r>
          </w:p>
        </w:tc>
      </w:tr>
      <w:tr w14:paraId="34DB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14:paraId="66CBB857">
            <w:pPr>
              <w:pStyle w:val="2"/>
              <w:spacing w:line="390" w:lineRule="exact"/>
              <w:jc w:val="center"/>
              <w:rPr>
                <w:rFonts w:hint="eastAsia" w:hAnsi="宋体" w:cs="Times New Roman"/>
                <w:sz w:val="21"/>
                <w:szCs w:val="21"/>
              </w:rPr>
            </w:pPr>
          </w:p>
        </w:tc>
        <w:tc>
          <w:tcPr>
            <w:tcW w:w="1146" w:type="dxa"/>
            <w:shd w:val="clear" w:color="auto" w:fill="auto"/>
            <w:vAlign w:val="center"/>
          </w:tcPr>
          <w:p w14:paraId="10FC8EAC">
            <w:pPr>
              <w:pStyle w:val="2"/>
              <w:spacing w:line="320" w:lineRule="exact"/>
              <w:jc w:val="center"/>
              <w:rPr>
                <w:rFonts w:hint="eastAsia" w:ascii="仿宋" w:hAnsi="仿宋" w:eastAsia="仿宋" w:cs="仿宋"/>
                <w:kern w:val="2"/>
                <w:sz w:val="21"/>
                <w:szCs w:val="21"/>
                <w:lang w:val="en-US" w:eastAsia="zh-CN" w:bidi="ar-SA"/>
              </w:rPr>
            </w:pPr>
          </w:p>
        </w:tc>
        <w:tc>
          <w:tcPr>
            <w:tcW w:w="697" w:type="dxa"/>
            <w:shd w:val="clear" w:color="auto" w:fill="auto"/>
            <w:vAlign w:val="center"/>
          </w:tcPr>
          <w:p w14:paraId="4A510867">
            <w:pPr>
              <w:pStyle w:val="2"/>
              <w:spacing w:line="320" w:lineRule="exact"/>
              <w:jc w:val="center"/>
              <w:rPr>
                <w:rFonts w:hint="eastAsia" w:ascii="仿宋" w:hAnsi="仿宋" w:eastAsia="仿宋" w:cs="仿宋"/>
                <w:kern w:val="2"/>
                <w:sz w:val="21"/>
                <w:szCs w:val="21"/>
                <w:lang w:val="en-US" w:eastAsia="zh-CN" w:bidi="ar-SA"/>
              </w:rPr>
            </w:pPr>
          </w:p>
        </w:tc>
        <w:tc>
          <w:tcPr>
            <w:tcW w:w="1955" w:type="dxa"/>
            <w:shd w:val="clear" w:color="auto" w:fill="auto"/>
            <w:vAlign w:val="center"/>
          </w:tcPr>
          <w:p w14:paraId="7C49D5B2">
            <w:pPr>
              <w:pStyle w:val="2"/>
              <w:spacing w:line="320" w:lineRule="exact"/>
              <w:jc w:val="center"/>
              <w:rPr>
                <w:rFonts w:hint="eastAsia" w:ascii="仿宋" w:hAnsi="仿宋" w:eastAsia="仿宋" w:cs="仿宋"/>
                <w:kern w:val="2"/>
                <w:sz w:val="21"/>
                <w:szCs w:val="21"/>
                <w:lang w:val="en-US" w:eastAsia="zh-CN" w:bidi="ar-SA"/>
              </w:rPr>
            </w:pPr>
          </w:p>
        </w:tc>
        <w:tc>
          <w:tcPr>
            <w:tcW w:w="1277" w:type="dxa"/>
            <w:shd w:val="clear" w:color="auto" w:fill="auto"/>
            <w:vAlign w:val="center"/>
          </w:tcPr>
          <w:p w14:paraId="03A1063B">
            <w:pPr>
              <w:pStyle w:val="2"/>
              <w:spacing w:line="320" w:lineRule="exact"/>
              <w:jc w:val="center"/>
              <w:rPr>
                <w:rFonts w:hint="eastAsia" w:ascii="仿宋" w:hAnsi="仿宋" w:eastAsia="仿宋" w:cs="仿宋"/>
                <w:kern w:val="2"/>
                <w:sz w:val="21"/>
                <w:szCs w:val="21"/>
                <w:lang w:val="en-US" w:eastAsia="zh-CN" w:bidi="ar-SA"/>
              </w:rPr>
            </w:pPr>
          </w:p>
        </w:tc>
        <w:tc>
          <w:tcPr>
            <w:tcW w:w="1963" w:type="dxa"/>
            <w:shd w:val="clear" w:color="auto" w:fill="auto"/>
            <w:vAlign w:val="center"/>
          </w:tcPr>
          <w:p w14:paraId="1DCF3CF1">
            <w:pPr>
              <w:pStyle w:val="2"/>
              <w:spacing w:line="320" w:lineRule="exact"/>
              <w:jc w:val="center"/>
              <w:rPr>
                <w:rFonts w:hint="eastAsia" w:ascii="仿宋" w:hAnsi="仿宋" w:eastAsia="仿宋" w:cs="仿宋"/>
                <w:kern w:val="2"/>
                <w:sz w:val="21"/>
                <w:szCs w:val="21"/>
                <w:lang w:val="en-US" w:eastAsia="zh-CN" w:bidi="ar-SA"/>
              </w:rPr>
            </w:pPr>
          </w:p>
        </w:tc>
        <w:tc>
          <w:tcPr>
            <w:tcW w:w="1842" w:type="dxa"/>
            <w:shd w:val="clear" w:color="auto" w:fill="auto"/>
            <w:vAlign w:val="center"/>
          </w:tcPr>
          <w:p w14:paraId="1D11341C">
            <w:pPr>
              <w:pStyle w:val="2"/>
              <w:spacing w:line="320" w:lineRule="exact"/>
              <w:jc w:val="center"/>
              <w:rPr>
                <w:rFonts w:hint="eastAsia" w:ascii="仿宋" w:hAnsi="仿宋" w:eastAsia="仿宋" w:cs="仿宋"/>
                <w:kern w:val="2"/>
                <w:sz w:val="21"/>
                <w:szCs w:val="21"/>
                <w:lang w:val="en-US" w:eastAsia="zh-CN" w:bidi="ar-SA"/>
              </w:rPr>
            </w:pPr>
          </w:p>
        </w:tc>
      </w:tr>
    </w:tbl>
    <w:p w14:paraId="2B9E840B">
      <w:pPr>
        <w:ind w:firstLine="640" w:firstLineChars="200"/>
        <w:rPr>
          <w:rFonts w:hint="eastAsia" w:ascii="仿宋" w:hAnsi="仿宋" w:eastAsia="仿宋" w:cs="仿宋_GB2312"/>
          <w:szCs w:val="32"/>
        </w:rPr>
      </w:pPr>
    </w:p>
    <w:p w14:paraId="13CD759A">
      <w:pPr>
        <w:ind w:firstLine="640" w:firstLineChars="200"/>
        <w:rPr>
          <w:rFonts w:hint="eastAsia" w:ascii="仿宋" w:hAnsi="仿宋" w:eastAsia="仿宋" w:cs="仿宋_GB2312"/>
          <w:szCs w:val="32"/>
        </w:rPr>
      </w:pPr>
    </w:p>
    <w:p w14:paraId="6525372E">
      <w:pPr>
        <w:ind w:firstLine="640" w:firstLineChars="200"/>
        <w:rPr>
          <w:rFonts w:hint="eastAsia" w:ascii="仿宋" w:hAnsi="仿宋" w:eastAsia="仿宋" w:cs="仿宋_GB2312"/>
          <w:szCs w:val="32"/>
        </w:rPr>
      </w:pPr>
    </w:p>
    <w:p w14:paraId="0E235022">
      <w:pPr>
        <w:ind w:firstLine="640" w:firstLineChars="200"/>
        <w:rPr>
          <w:rFonts w:hint="eastAsia" w:ascii="仿宋" w:hAnsi="仿宋" w:eastAsia="仿宋" w:cs="仿宋_GB2312"/>
          <w:szCs w:val="32"/>
        </w:rPr>
      </w:pPr>
      <w:r>
        <w:rPr>
          <w:rFonts w:hint="eastAsia" w:ascii="仿宋" w:hAnsi="仿宋" w:eastAsia="仿宋" w:cs="仿宋_GB2312"/>
          <w:szCs w:val="32"/>
        </w:rPr>
        <w:t>8.完成人情况，包括姓名、排名、职称、行政职务、工作单位、对本项目的贡献</w:t>
      </w:r>
    </w:p>
    <w:tbl>
      <w:tblPr>
        <w:tblStyle w:val="3"/>
        <w:tblpPr w:leftFromText="180" w:rightFromText="180" w:vertAnchor="text" w:horzAnchor="page" w:tblpX="543" w:tblpY="12"/>
        <w:tblOverlap w:val="never"/>
        <w:tblW w:w="10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694"/>
        <w:gridCol w:w="1405"/>
        <w:gridCol w:w="1080"/>
        <w:gridCol w:w="1080"/>
        <w:gridCol w:w="2118"/>
        <w:gridCol w:w="3445"/>
      </w:tblGrid>
      <w:tr w14:paraId="12EE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14:paraId="7CF4ED62">
            <w:pPr>
              <w:spacing w:line="24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姓名</w:t>
            </w:r>
          </w:p>
        </w:tc>
        <w:tc>
          <w:tcPr>
            <w:tcW w:w="694" w:type="dxa"/>
            <w:vAlign w:val="center"/>
          </w:tcPr>
          <w:p w14:paraId="5C8EB6B7">
            <w:pPr>
              <w:spacing w:line="240" w:lineRule="auto"/>
              <w:jc w:val="center"/>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排名</w:t>
            </w:r>
          </w:p>
        </w:tc>
        <w:tc>
          <w:tcPr>
            <w:tcW w:w="1405" w:type="dxa"/>
            <w:vAlign w:val="center"/>
          </w:tcPr>
          <w:p w14:paraId="03088B71">
            <w:pPr>
              <w:spacing w:line="24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技术职称</w:t>
            </w:r>
          </w:p>
        </w:tc>
        <w:tc>
          <w:tcPr>
            <w:tcW w:w="1080" w:type="dxa"/>
            <w:vAlign w:val="center"/>
          </w:tcPr>
          <w:p w14:paraId="254B442B">
            <w:pPr>
              <w:spacing w:line="240" w:lineRule="auto"/>
              <w:jc w:val="center"/>
              <w:rPr>
                <w:rFonts w:hint="default"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行政职务</w:t>
            </w:r>
          </w:p>
        </w:tc>
        <w:tc>
          <w:tcPr>
            <w:tcW w:w="1080" w:type="dxa"/>
            <w:vAlign w:val="center"/>
          </w:tcPr>
          <w:p w14:paraId="07EDCDC6">
            <w:pPr>
              <w:spacing w:line="24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文化程度(学位)</w:t>
            </w:r>
          </w:p>
        </w:tc>
        <w:tc>
          <w:tcPr>
            <w:tcW w:w="2118" w:type="dxa"/>
            <w:vAlign w:val="center"/>
          </w:tcPr>
          <w:p w14:paraId="52014A00">
            <w:pPr>
              <w:spacing w:line="24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工作单位</w:t>
            </w:r>
          </w:p>
        </w:tc>
        <w:tc>
          <w:tcPr>
            <w:tcW w:w="3445" w:type="dxa"/>
            <w:vAlign w:val="center"/>
          </w:tcPr>
          <w:p w14:paraId="4318D3B2">
            <w:pPr>
              <w:spacing w:line="24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对</w:t>
            </w:r>
            <w:r>
              <w:rPr>
                <w:rFonts w:hint="eastAsia" w:ascii="宋体" w:hAnsi="宋体" w:eastAsia="宋体" w:cs="宋体"/>
                <w:b/>
                <w:bCs w:val="0"/>
                <w:sz w:val="21"/>
                <w:szCs w:val="21"/>
                <w:lang w:val="en-US" w:eastAsia="zh-CN"/>
              </w:rPr>
              <w:t>本项目的</w:t>
            </w:r>
            <w:r>
              <w:rPr>
                <w:rFonts w:hint="eastAsia" w:ascii="宋体" w:hAnsi="宋体" w:eastAsia="宋体" w:cs="宋体"/>
                <w:b/>
                <w:bCs w:val="0"/>
                <w:sz w:val="21"/>
                <w:szCs w:val="21"/>
              </w:rPr>
              <w:t>贡献</w:t>
            </w:r>
          </w:p>
        </w:tc>
      </w:tr>
      <w:tr w14:paraId="2EE7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61E443EB">
            <w:pPr>
              <w:jc w:val="center"/>
              <w:rPr>
                <w:rFonts w:hint="eastAsia" w:ascii="宋体" w:hAnsi="宋体" w:eastAsia="宋体" w:cs="宋体"/>
                <w:bCs/>
                <w:sz w:val="21"/>
                <w:szCs w:val="21"/>
                <w:lang w:val="en-US" w:eastAsia="zh-CN"/>
              </w:rPr>
            </w:pPr>
            <w:bookmarkStart w:id="0" w:name="_GoBack" w:colFirst="6" w:colLast="6"/>
            <w:r>
              <w:rPr>
                <w:rFonts w:hint="eastAsia" w:ascii="宋体" w:hAnsi="宋体" w:eastAsia="宋体" w:cs="宋体"/>
                <w:bCs/>
                <w:sz w:val="21"/>
                <w:szCs w:val="21"/>
                <w:lang w:val="en-US" w:eastAsia="zh-CN"/>
              </w:rPr>
              <w:t>左友波</w:t>
            </w:r>
          </w:p>
        </w:tc>
        <w:tc>
          <w:tcPr>
            <w:tcW w:w="694" w:type="dxa"/>
            <w:vAlign w:val="top"/>
          </w:tcPr>
          <w:p w14:paraId="156A0E64">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405" w:type="dxa"/>
            <w:vAlign w:val="top"/>
          </w:tcPr>
          <w:p w14:paraId="54C74BD4">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副教授</w:t>
            </w:r>
          </w:p>
        </w:tc>
        <w:tc>
          <w:tcPr>
            <w:tcW w:w="1080" w:type="dxa"/>
            <w:vAlign w:val="center"/>
          </w:tcPr>
          <w:p w14:paraId="2865E751">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无</w:t>
            </w:r>
          </w:p>
        </w:tc>
        <w:tc>
          <w:tcPr>
            <w:tcW w:w="1080" w:type="dxa"/>
            <w:vAlign w:val="top"/>
          </w:tcPr>
          <w:p w14:paraId="13D1FFAD">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博士</w:t>
            </w:r>
          </w:p>
        </w:tc>
        <w:tc>
          <w:tcPr>
            <w:tcW w:w="2118" w:type="dxa"/>
            <w:vAlign w:val="top"/>
          </w:tcPr>
          <w:p w14:paraId="048C9455">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川北医学院附属医院</w:t>
            </w:r>
          </w:p>
        </w:tc>
        <w:tc>
          <w:tcPr>
            <w:tcW w:w="3445" w:type="dxa"/>
            <w:vAlign w:val="top"/>
          </w:tcPr>
          <w:p w14:paraId="1F348424">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主导超声可视化和术前碳水化合物研究（项目负责人）</w:t>
            </w:r>
          </w:p>
        </w:tc>
      </w:tr>
      <w:tr w14:paraId="2F1B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45D7AD49">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林菁艳</w:t>
            </w:r>
          </w:p>
        </w:tc>
        <w:tc>
          <w:tcPr>
            <w:tcW w:w="694" w:type="dxa"/>
            <w:vAlign w:val="top"/>
          </w:tcPr>
          <w:p w14:paraId="0EF7A085">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1405" w:type="dxa"/>
            <w:vAlign w:val="top"/>
          </w:tcPr>
          <w:p w14:paraId="05791B41">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教授</w:t>
            </w:r>
          </w:p>
        </w:tc>
        <w:tc>
          <w:tcPr>
            <w:tcW w:w="1080" w:type="dxa"/>
            <w:vAlign w:val="center"/>
          </w:tcPr>
          <w:p w14:paraId="04F43099">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科主任</w:t>
            </w:r>
          </w:p>
        </w:tc>
        <w:tc>
          <w:tcPr>
            <w:tcW w:w="1080" w:type="dxa"/>
            <w:vAlign w:val="top"/>
          </w:tcPr>
          <w:p w14:paraId="1CE3C04C">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博士</w:t>
            </w:r>
          </w:p>
        </w:tc>
        <w:tc>
          <w:tcPr>
            <w:tcW w:w="2118" w:type="dxa"/>
            <w:vAlign w:val="top"/>
          </w:tcPr>
          <w:p w14:paraId="125AF8BD">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川北医学院附属医院</w:t>
            </w:r>
          </w:p>
        </w:tc>
        <w:tc>
          <w:tcPr>
            <w:tcW w:w="3445" w:type="dxa"/>
            <w:vAlign w:val="top"/>
          </w:tcPr>
          <w:p w14:paraId="3795167F">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政策支持，主导术后加速康复研究</w:t>
            </w:r>
          </w:p>
        </w:tc>
      </w:tr>
      <w:tr w14:paraId="0D71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453FC2B0">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辛娟</w:t>
            </w:r>
          </w:p>
        </w:tc>
        <w:tc>
          <w:tcPr>
            <w:tcW w:w="694" w:type="dxa"/>
            <w:vAlign w:val="top"/>
          </w:tcPr>
          <w:p w14:paraId="108492CC">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3</w:t>
            </w:r>
          </w:p>
        </w:tc>
        <w:tc>
          <w:tcPr>
            <w:tcW w:w="1405" w:type="dxa"/>
            <w:vAlign w:val="top"/>
          </w:tcPr>
          <w:p w14:paraId="7CB04CCA">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助理研究员</w:t>
            </w:r>
          </w:p>
        </w:tc>
        <w:tc>
          <w:tcPr>
            <w:tcW w:w="1080" w:type="dxa"/>
            <w:vAlign w:val="center"/>
          </w:tcPr>
          <w:p w14:paraId="3D94BC6B">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无</w:t>
            </w:r>
          </w:p>
        </w:tc>
        <w:tc>
          <w:tcPr>
            <w:tcW w:w="1080" w:type="dxa"/>
            <w:vAlign w:val="top"/>
          </w:tcPr>
          <w:p w14:paraId="44A7B5C5">
            <w:pPr>
              <w:jc w:val="center"/>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博士</w:t>
            </w:r>
          </w:p>
        </w:tc>
        <w:tc>
          <w:tcPr>
            <w:tcW w:w="2118" w:type="dxa"/>
            <w:vAlign w:val="top"/>
          </w:tcPr>
          <w:p w14:paraId="10BCC3ED">
            <w:pPr>
              <w:jc w:val="center"/>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四川大学华西医院</w:t>
            </w:r>
          </w:p>
        </w:tc>
        <w:tc>
          <w:tcPr>
            <w:tcW w:w="3445" w:type="dxa"/>
            <w:vAlign w:val="top"/>
          </w:tcPr>
          <w:p w14:paraId="4C14ACC4">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可视化研究，术后认知障碍研究</w:t>
            </w:r>
          </w:p>
        </w:tc>
      </w:tr>
      <w:tr w14:paraId="6F80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0193F4ED">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冯艳</w:t>
            </w:r>
          </w:p>
        </w:tc>
        <w:tc>
          <w:tcPr>
            <w:tcW w:w="694" w:type="dxa"/>
            <w:vAlign w:val="top"/>
          </w:tcPr>
          <w:p w14:paraId="071BA3A9">
            <w:pPr>
              <w:jc w:val="center"/>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4</w:t>
            </w:r>
          </w:p>
        </w:tc>
        <w:tc>
          <w:tcPr>
            <w:tcW w:w="1405" w:type="dxa"/>
            <w:vAlign w:val="top"/>
          </w:tcPr>
          <w:p w14:paraId="3937B8D8">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讲师</w:t>
            </w:r>
          </w:p>
        </w:tc>
        <w:tc>
          <w:tcPr>
            <w:tcW w:w="1080" w:type="dxa"/>
            <w:vAlign w:val="center"/>
          </w:tcPr>
          <w:p w14:paraId="399E853D">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无</w:t>
            </w:r>
          </w:p>
        </w:tc>
        <w:tc>
          <w:tcPr>
            <w:tcW w:w="1080" w:type="dxa"/>
            <w:vAlign w:val="top"/>
          </w:tcPr>
          <w:p w14:paraId="753AA2FE">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博士</w:t>
            </w:r>
          </w:p>
        </w:tc>
        <w:tc>
          <w:tcPr>
            <w:tcW w:w="2118" w:type="dxa"/>
            <w:vAlign w:val="top"/>
          </w:tcPr>
          <w:p w14:paraId="4A709C22">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川北医学院附属医院</w:t>
            </w:r>
          </w:p>
        </w:tc>
        <w:tc>
          <w:tcPr>
            <w:tcW w:w="3445" w:type="dxa"/>
            <w:vAlign w:val="top"/>
          </w:tcPr>
          <w:p w14:paraId="7A3C3100">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依托咪酯诱发肌颤机制及预防研究</w:t>
            </w:r>
          </w:p>
        </w:tc>
      </w:tr>
      <w:tr w14:paraId="759E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6C2EB1CB">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陈昌林</w:t>
            </w:r>
          </w:p>
        </w:tc>
        <w:tc>
          <w:tcPr>
            <w:tcW w:w="694" w:type="dxa"/>
            <w:vAlign w:val="top"/>
          </w:tcPr>
          <w:p w14:paraId="5E1ADFA9">
            <w:pPr>
              <w:jc w:val="center"/>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5</w:t>
            </w:r>
          </w:p>
        </w:tc>
        <w:tc>
          <w:tcPr>
            <w:tcW w:w="1405" w:type="dxa"/>
            <w:vAlign w:val="top"/>
          </w:tcPr>
          <w:p w14:paraId="4F8AAC6A">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讲师</w:t>
            </w:r>
          </w:p>
        </w:tc>
        <w:tc>
          <w:tcPr>
            <w:tcW w:w="1080" w:type="dxa"/>
            <w:vAlign w:val="center"/>
          </w:tcPr>
          <w:p w14:paraId="45A56021">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无</w:t>
            </w:r>
          </w:p>
        </w:tc>
        <w:tc>
          <w:tcPr>
            <w:tcW w:w="1080" w:type="dxa"/>
            <w:vAlign w:val="top"/>
          </w:tcPr>
          <w:p w14:paraId="70702DCA">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硕士</w:t>
            </w:r>
          </w:p>
        </w:tc>
        <w:tc>
          <w:tcPr>
            <w:tcW w:w="2118" w:type="dxa"/>
            <w:vAlign w:val="top"/>
          </w:tcPr>
          <w:p w14:paraId="2A8E6D29">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川北医学院附属医院</w:t>
            </w:r>
          </w:p>
        </w:tc>
        <w:tc>
          <w:tcPr>
            <w:tcW w:w="3445" w:type="dxa"/>
            <w:vAlign w:val="top"/>
          </w:tcPr>
          <w:p w14:paraId="748D86CB">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超声下喉上神经阻滞与纤支镜下气道表面麻醉对比研究</w:t>
            </w:r>
          </w:p>
        </w:tc>
      </w:tr>
      <w:tr w14:paraId="5251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7FA0B241">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杨宇焦</w:t>
            </w:r>
          </w:p>
        </w:tc>
        <w:tc>
          <w:tcPr>
            <w:tcW w:w="694" w:type="dxa"/>
            <w:vAlign w:val="top"/>
          </w:tcPr>
          <w:p w14:paraId="20D31594">
            <w:pPr>
              <w:jc w:val="center"/>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6</w:t>
            </w:r>
          </w:p>
        </w:tc>
        <w:tc>
          <w:tcPr>
            <w:tcW w:w="1405" w:type="dxa"/>
            <w:vAlign w:val="top"/>
          </w:tcPr>
          <w:p w14:paraId="2FBA8B3A">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主治医师</w:t>
            </w:r>
          </w:p>
        </w:tc>
        <w:tc>
          <w:tcPr>
            <w:tcW w:w="1080" w:type="dxa"/>
            <w:vAlign w:val="center"/>
          </w:tcPr>
          <w:p w14:paraId="146156E9">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无</w:t>
            </w:r>
          </w:p>
        </w:tc>
        <w:tc>
          <w:tcPr>
            <w:tcW w:w="1080" w:type="dxa"/>
            <w:vAlign w:val="top"/>
          </w:tcPr>
          <w:p w14:paraId="6753BD64">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博士</w:t>
            </w:r>
          </w:p>
        </w:tc>
        <w:tc>
          <w:tcPr>
            <w:tcW w:w="2118" w:type="dxa"/>
            <w:vAlign w:val="top"/>
          </w:tcPr>
          <w:p w14:paraId="609136B6">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川北医学院附属医院</w:t>
            </w:r>
          </w:p>
        </w:tc>
        <w:tc>
          <w:tcPr>
            <w:tcW w:w="3445" w:type="dxa"/>
            <w:vAlign w:val="top"/>
          </w:tcPr>
          <w:p w14:paraId="3C4EE846">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肺部超声观察与指导术后肺复张</w:t>
            </w:r>
          </w:p>
        </w:tc>
      </w:tr>
      <w:tr w14:paraId="47AC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359AC92F">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赵漾</w:t>
            </w:r>
          </w:p>
        </w:tc>
        <w:tc>
          <w:tcPr>
            <w:tcW w:w="694" w:type="dxa"/>
            <w:vAlign w:val="top"/>
          </w:tcPr>
          <w:p w14:paraId="2CCBA4E3">
            <w:pPr>
              <w:jc w:val="center"/>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7</w:t>
            </w:r>
          </w:p>
        </w:tc>
        <w:tc>
          <w:tcPr>
            <w:tcW w:w="1405" w:type="dxa"/>
            <w:vAlign w:val="top"/>
          </w:tcPr>
          <w:p w14:paraId="75A82E2B">
            <w:pP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rPr>
              <w:t xml:space="preserve"> </w:t>
            </w:r>
            <w:r>
              <w:rPr>
                <w:rFonts w:hint="eastAsia" w:ascii="宋体" w:hAnsi="宋体" w:eastAsia="宋体" w:cs="宋体"/>
                <w:bCs/>
                <w:sz w:val="21"/>
                <w:szCs w:val="21"/>
                <w:lang w:val="en-US" w:eastAsia="zh-CN"/>
              </w:rPr>
              <w:t>主治医师</w:t>
            </w:r>
            <w:r>
              <w:rPr>
                <w:rFonts w:hint="eastAsia" w:ascii="宋体" w:hAnsi="宋体" w:eastAsia="宋体" w:cs="宋体"/>
                <w:bCs/>
                <w:sz w:val="21"/>
                <w:szCs w:val="21"/>
              </w:rPr>
              <w:t xml:space="preserve">                </w:t>
            </w:r>
          </w:p>
        </w:tc>
        <w:tc>
          <w:tcPr>
            <w:tcW w:w="1080" w:type="dxa"/>
            <w:vAlign w:val="center"/>
          </w:tcPr>
          <w:p w14:paraId="625137E5">
            <w:pPr>
              <w:ind w:firstLine="420" w:firstLineChars="200"/>
              <w:jc w:val="both"/>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无</w:t>
            </w:r>
          </w:p>
        </w:tc>
        <w:tc>
          <w:tcPr>
            <w:tcW w:w="1080" w:type="dxa"/>
            <w:vAlign w:val="top"/>
          </w:tcPr>
          <w:p w14:paraId="63C6EC4B">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博士</w:t>
            </w:r>
          </w:p>
        </w:tc>
        <w:tc>
          <w:tcPr>
            <w:tcW w:w="2118" w:type="dxa"/>
            <w:vAlign w:val="top"/>
          </w:tcPr>
          <w:p w14:paraId="71AF2723">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川北医学院附属医院</w:t>
            </w:r>
          </w:p>
        </w:tc>
        <w:tc>
          <w:tcPr>
            <w:tcW w:w="3445" w:type="dxa"/>
            <w:vAlign w:val="top"/>
          </w:tcPr>
          <w:p w14:paraId="04A47941">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布比卡因神经毒性研究，</w:t>
            </w:r>
          </w:p>
          <w:p w14:paraId="49004BDB">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超声可视化临床与教学研究</w:t>
            </w:r>
          </w:p>
        </w:tc>
      </w:tr>
      <w:tr w14:paraId="30DC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55" w:type="dxa"/>
            <w:vAlign w:val="top"/>
          </w:tcPr>
          <w:p w14:paraId="60089589">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庞勇</w:t>
            </w:r>
          </w:p>
        </w:tc>
        <w:tc>
          <w:tcPr>
            <w:tcW w:w="694" w:type="dxa"/>
            <w:vAlign w:val="top"/>
          </w:tcPr>
          <w:p w14:paraId="3910C720">
            <w:pPr>
              <w:jc w:val="center"/>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8</w:t>
            </w:r>
          </w:p>
        </w:tc>
        <w:tc>
          <w:tcPr>
            <w:tcW w:w="1405" w:type="dxa"/>
            <w:vAlign w:val="top"/>
          </w:tcPr>
          <w:p w14:paraId="2A67B44D">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副主任医师</w:t>
            </w:r>
          </w:p>
        </w:tc>
        <w:tc>
          <w:tcPr>
            <w:tcW w:w="1080" w:type="dxa"/>
            <w:vAlign w:val="center"/>
          </w:tcPr>
          <w:p w14:paraId="665A072F">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无</w:t>
            </w:r>
          </w:p>
        </w:tc>
        <w:tc>
          <w:tcPr>
            <w:tcW w:w="1080" w:type="dxa"/>
            <w:vAlign w:val="top"/>
          </w:tcPr>
          <w:p w14:paraId="0CEA79CA">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硕士</w:t>
            </w:r>
          </w:p>
        </w:tc>
        <w:tc>
          <w:tcPr>
            <w:tcW w:w="2118" w:type="dxa"/>
            <w:vAlign w:val="top"/>
          </w:tcPr>
          <w:p w14:paraId="79DB8701">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川北医学院附属医院</w:t>
            </w:r>
          </w:p>
        </w:tc>
        <w:tc>
          <w:tcPr>
            <w:tcW w:w="3445" w:type="dxa"/>
            <w:vAlign w:val="top"/>
          </w:tcPr>
          <w:p w14:paraId="1958F6F2">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星状神经阻滞改善术后睡眠紊乱</w:t>
            </w:r>
          </w:p>
        </w:tc>
      </w:tr>
      <w:bookmarkEnd w:id="0"/>
    </w:tbl>
    <w:p w14:paraId="3DF4F5F7">
      <w:pPr>
        <w:rPr>
          <w:rFonts w:hint="eastAsia" w:ascii="仿宋" w:hAnsi="仿宋" w:eastAsia="仿宋" w:cs="仿宋_GB2312"/>
          <w:szCs w:val="32"/>
        </w:rPr>
      </w:pPr>
    </w:p>
    <w:p w14:paraId="197F4B1D">
      <w:pPr>
        <w:ind w:firstLine="640" w:firstLineChars="200"/>
        <w:rPr>
          <w:rFonts w:hint="eastAsia" w:ascii="仿宋" w:hAnsi="仿宋" w:eastAsia="仿宋" w:cs="仿宋_GB2312"/>
          <w:szCs w:val="32"/>
        </w:rPr>
      </w:pPr>
    </w:p>
    <w:p w14:paraId="01422AFB">
      <w:pPr>
        <w:ind w:firstLine="640" w:firstLineChars="200"/>
        <w:rPr>
          <w:rFonts w:hint="eastAsia" w:ascii="仿宋" w:hAnsi="仿宋" w:eastAsia="仿宋" w:cs="仿宋_GB2312"/>
          <w:szCs w:val="32"/>
        </w:rPr>
      </w:pPr>
      <w:r>
        <w:rPr>
          <w:rFonts w:hint="eastAsia" w:ascii="仿宋" w:hAnsi="仿宋" w:eastAsia="仿宋" w:cs="仿宋_GB2312"/>
          <w:szCs w:val="32"/>
        </w:rPr>
        <w:t>9.完成单位情况，包括单位名称、排名，对本项目的贡献情况</w:t>
      </w:r>
    </w:p>
    <w:tbl>
      <w:tblPr>
        <w:tblStyle w:val="3"/>
        <w:tblpPr w:leftFromText="180" w:rightFromText="180" w:vertAnchor="text" w:horzAnchor="page" w:tblpX="1803" w:tblpY="2017"/>
        <w:tblOverlap w:val="never"/>
        <w:tblW w:w="8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4"/>
        <w:gridCol w:w="849"/>
        <w:gridCol w:w="5366"/>
      </w:tblGrid>
      <w:tr w14:paraId="1225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4" w:type="dxa"/>
            <w:vAlign w:val="center"/>
          </w:tcPr>
          <w:p w14:paraId="7624A831">
            <w:pPr>
              <w:spacing w:line="240" w:lineRule="auto"/>
              <w:jc w:val="center"/>
              <w:rPr>
                <w:rFonts w:hint="default"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单位名称</w:t>
            </w:r>
          </w:p>
        </w:tc>
        <w:tc>
          <w:tcPr>
            <w:tcW w:w="849" w:type="dxa"/>
            <w:vAlign w:val="center"/>
          </w:tcPr>
          <w:p w14:paraId="5F63A0DD">
            <w:pPr>
              <w:spacing w:line="240" w:lineRule="auto"/>
              <w:jc w:val="center"/>
              <w:rPr>
                <w:rFonts w:hint="default"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排名</w:t>
            </w:r>
          </w:p>
        </w:tc>
        <w:tc>
          <w:tcPr>
            <w:tcW w:w="5366" w:type="dxa"/>
            <w:vAlign w:val="center"/>
          </w:tcPr>
          <w:p w14:paraId="473A6E1A">
            <w:pPr>
              <w:spacing w:line="24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对</w:t>
            </w:r>
            <w:r>
              <w:rPr>
                <w:rFonts w:hint="eastAsia" w:ascii="宋体" w:hAnsi="宋体" w:eastAsia="宋体" w:cs="宋体"/>
                <w:b/>
                <w:bCs w:val="0"/>
                <w:sz w:val="21"/>
                <w:szCs w:val="21"/>
                <w:lang w:val="en-US" w:eastAsia="zh-CN"/>
              </w:rPr>
              <w:t>本项目的</w:t>
            </w:r>
            <w:r>
              <w:rPr>
                <w:rFonts w:hint="eastAsia" w:ascii="宋体" w:hAnsi="宋体" w:eastAsia="宋体" w:cs="宋体"/>
                <w:b/>
                <w:bCs w:val="0"/>
                <w:sz w:val="21"/>
                <w:szCs w:val="21"/>
              </w:rPr>
              <w:t>贡献</w:t>
            </w:r>
          </w:p>
        </w:tc>
      </w:tr>
      <w:tr w14:paraId="5FE0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74" w:type="dxa"/>
            <w:vAlign w:val="center"/>
          </w:tcPr>
          <w:p w14:paraId="155D9EC8">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川北医学院附属医院</w:t>
            </w:r>
          </w:p>
        </w:tc>
        <w:tc>
          <w:tcPr>
            <w:tcW w:w="849" w:type="dxa"/>
            <w:vAlign w:val="center"/>
          </w:tcPr>
          <w:p w14:paraId="17E04497">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5366" w:type="dxa"/>
            <w:vAlign w:val="top"/>
          </w:tcPr>
          <w:p w14:paraId="7FDC48C9">
            <w:pPr>
              <w:jc w:val="left"/>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1.负责整个项目设计、规划、统筹安排、整合与总结；2.进行平台搭建，课程建设，技术培训与应用推广；3.支持分课题项目申报与立项； 4.负责科研项目的监督和管理，政策与经费支持；5.进行基础与临床实验研究，资料收集、数据分析、总结、论文撰写等；6.项目推广应用和学术活动交流；7.负责查新报告、论文检索、成果鉴定及成果奖申报。</w:t>
            </w:r>
          </w:p>
        </w:tc>
      </w:tr>
      <w:tr w14:paraId="6E1E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74" w:type="dxa"/>
            <w:vAlign w:val="center"/>
          </w:tcPr>
          <w:p w14:paraId="1B8454A1">
            <w:pPr>
              <w:jc w:val="center"/>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四川大学华西医院</w:t>
            </w:r>
          </w:p>
        </w:tc>
        <w:tc>
          <w:tcPr>
            <w:tcW w:w="849" w:type="dxa"/>
            <w:vAlign w:val="center"/>
          </w:tcPr>
          <w:p w14:paraId="5CC42FCD">
            <w:pPr>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5366" w:type="dxa"/>
            <w:vAlign w:val="top"/>
          </w:tcPr>
          <w:p w14:paraId="4274D058">
            <w:pPr>
              <w:jc w:val="left"/>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参与了项目研究，与部分课题进行了合作研究，对超声可视化技术进行了指导，并对分课题超声下神经阻滞进行了临床研究，对术后认知功能障碍进行了机制研究，为提升围术期康复质量及新药研发提供了理论基础。</w:t>
            </w:r>
          </w:p>
        </w:tc>
      </w:tr>
    </w:tbl>
    <w:p w14:paraId="30F0F605">
      <w:pPr>
        <w:keepNext w:val="0"/>
        <w:keepLines w:val="0"/>
        <w:pageBreakBefore w:val="0"/>
        <w:widowControl w:val="0"/>
        <w:kinsoku/>
        <w:wordWrap/>
        <w:overflowPunct/>
        <w:topLinePunct w:val="0"/>
        <w:autoSpaceDE/>
        <w:autoSpaceDN/>
        <w:bidi w:val="0"/>
        <w:adjustRightInd w:val="0"/>
        <w:snapToGrid/>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小标宋">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3YmI4Y2IzNTc1ZGRiNzY3NTlmMjZlZmYyMzNkMDIifQ=="/>
  </w:docVars>
  <w:rsids>
    <w:rsidRoot w:val="00000000"/>
    <w:rsid w:val="295157B0"/>
    <w:rsid w:val="494B5270"/>
    <w:rsid w:val="65315D31"/>
    <w:rsid w:val="7F050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szCs w:val="24"/>
    </w:rPr>
  </w:style>
  <w:style w:type="table" w:styleId="4">
    <w:name w:val="Table Grid"/>
    <w:basedOn w:val="3"/>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3159</Words>
  <Characters>5181</Characters>
  <Lines>0</Lines>
  <Paragraphs>0</Paragraphs>
  <TotalTime>20</TotalTime>
  <ScaleCrop>false</ScaleCrop>
  <LinksUpToDate>false</LinksUpToDate>
  <CharactersWithSpaces>5676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2024-08-23T09:07:00Z</dcterms:created>
  <dc:creator>86138</dc:creator>
  <cp:lastModifiedBy>唐竟成</cp:lastModifiedBy>
  <dcterms:modified xsi:type="dcterms:W3CDTF">2024-08-27T02:35:57Z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56D52DB509B646F997F86780E69B90BB_12</vt:lpwstr>
  </property>
</Properties>
</file>